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3A32" w14:textId="3807D765" w:rsidR="00274763" w:rsidRPr="006145FA" w:rsidRDefault="00274763" w:rsidP="00274763">
      <w:pPr>
        <w:pStyle w:val="Title"/>
        <w:jc w:val="center"/>
        <w:rPr>
          <w:rFonts w:asciiTheme="minorHAnsi" w:hAnsiTheme="minorHAnsi" w:cstheme="minorHAnsi"/>
          <w:b/>
          <w:bCs/>
          <w:sz w:val="22"/>
          <w:szCs w:val="22"/>
        </w:rPr>
      </w:pPr>
      <w:r>
        <w:rPr>
          <w:rFonts w:asciiTheme="minorHAnsi" w:hAnsiTheme="minorHAnsi" w:cstheme="minorHAnsi"/>
          <w:b/>
          <w:bCs/>
          <w:sz w:val="22"/>
          <w:szCs w:val="22"/>
        </w:rPr>
        <w:t>T</w:t>
      </w:r>
      <w:r w:rsidRPr="006145FA">
        <w:rPr>
          <w:rFonts w:asciiTheme="minorHAnsi" w:hAnsiTheme="minorHAnsi" w:cstheme="minorHAnsi"/>
          <w:b/>
          <w:bCs/>
          <w:sz w:val="22"/>
          <w:szCs w:val="22"/>
        </w:rPr>
        <w:t>he Research Foundation for SUNY</w:t>
      </w:r>
    </w:p>
    <w:p w14:paraId="6D5382A7" w14:textId="77777777" w:rsidR="00274763" w:rsidRPr="006145FA" w:rsidRDefault="00274763" w:rsidP="00274763">
      <w:pPr>
        <w:jc w:val="center"/>
        <w:rPr>
          <w:rFonts w:cstheme="minorHAnsi"/>
          <w:b/>
          <w:bCs/>
        </w:rPr>
      </w:pPr>
      <w:r w:rsidRPr="006145FA">
        <w:rPr>
          <w:rFonts w:cstheme="minorHAnsi"/>
        </w:rPr>
        <w:t>Policy and Procedure</w:t>
      </w:r>
    </w:p>
    <w:p w14:paraId="37C82F7D" w14:textId="77777777" w:rsidR="00274763" w:rsidRPr="006145FA" w:rsidRDefault="00274763" w:rsidP="00274763">
      <w:pPr>
        <w:jc w:val="center"/>
        <w:rPr>
          <w:rFonts w:cstheme="minorHAnsi"/>
          <w:b/>
          <w:bCs/>
        </w:rPr>
      </w:pPr>
    </w:p>
    <w:p w14:paraId="15D29AC4" w14:textId="5A0E12B8" w:rsidR="00274763" w:rsidRPr="0009710E" w:rsidRDefault="00274763" w:rsidP="00274763">
      <w:pPr>
        <w:rPr>
          <w:rFonts w:cstheme="minorHAnsi"/>
          <w:i/>
          <w:iCs/>
        </w:rPr>
      </w:pPr>
      <w:r w:rsidRPr="006145FA">
        <w:rPr>
          <w:rFonts w:cstheme="minorHAnsi"/>
          <w:u w:val="single"/>
        </w:rPr>
        <w:t>Subject</w:t>
      </w:r>
      <w:r w:rsidRPr="006145FA">
        <w:rPr>
          <w:rFonts w:cstheme="minorHAnsi"/>
          <w:b/>
          <w:bCs/>
        </w:rPr>
        <w:t xml:space="preserve">: </w:t>
      </w:r>
      <w:r w:rsidR="00422B8C">
        <w:rPr>
          <w:rFonts w:cstheme="minorHAnsi"/>
          <w:b/>
          <w:bCs/>
        </w:rPr>
        <w:t xml:space="preserve">Fixed Price </w:t>
      </w:r>
      <w:r>
        <w:rPr>
          <w:rFonts w:cstheme="minorHAnsi"/>
          <w:b/>
          <w:bCs/>
        </w:rPr>
        <w:t>Residual Balances</w:t>
      </w:r>
      <w:r w:rsidR="0009710E">
        <w:rPr>
          <w:rFonts w:cstheme="minorHAnsi"/>
          <w:b/>
          <w:bCs/>
        </w:rPr>
        <w:t xml:space="preserve"> </w:t>
      </w:r>
      <w:r w:rsidR="0033156E" w:rsidRPr="00B81632">
        <w:rPr>
          <w:rFonts w:cstheme="minorHAnsi"/>
        </w:rPr>
        <w:t>(excluding Programs, Centers, and Institutes)</w:t>
      </w:r>
    </w:p>
    <w:p w14:paraId="5560E3E9" w14:textId="77777777" w:rsidR="0047099C" w:rsidRDefault="00A75308" w:rsidP="00274763">
      <w:pPr>
        <w:rPr>
          <w:rFonts w:cstheme="minorHAnsi"/>
          <w:u w:val="single"/>
        </w:rPr>
      </w:pPr>
      <w:r>
        <w:rPr>
          <w:rFonts w:cstheme="minorHAnsi"/>
          <w:u w:val="single"/>
        </w:rPr>
        <w:t>Revised: July 2025</w:t>
      </w:r>
    </w:p>
    <w:p w14:paraId="052A7FD4" w14:textId="16731366" w:rsidR="00626D7F" w:rsidRPr="006145FA" w:rsidRDefault="00274763" w:rsidP="00274763">
      <w:pPr>
        <w:rPr>
          <w:rFonts w:cstheme="minorHAnsi"/>
        </w:rPr>
      </w:pPr>
      <w:r w:rsidRPr="006145FA">
        <w:rPr>
          <w:rFonts w:cstheme="minorHAnsi"/>
          <w:u w:val="single"/>
        </w:rPr>
        <w:t>Effective Date</w:t>
      </w:r>
      <w:r w:rsidRPr="006145FA">
        <w:rPr>
          <w:rFonts w:cstheme="minorHAnsi"/>
        </w:rPr>
        <w:t xml:space="preserve">: </w:t>
      </w:r>
      <w:r w:rsidR="00F6122D">
        <w:rPr>
          <w:rFonts w:cstheme="minorHAnsi"/>
        </w:rPr>
        <w:t>May</w:t>
      </w:r>
      <w:r>
        <w:rPr>
          <w:rFonts w:cstheme="minorHAnsi"/>
        </w:rPr>
        <w:t xml:space="preserve"> 20</w:t>
      </w:r>
      <w:r w:rsidR="00422B8C">
        <w:rPr>
          <w:rFonts w:cstheme="minorHAnsi"/>
        </w:rPr>
        <w:t>2</w:t>
      </w:r>
      <w:r w:rsidR="00F6122D">
        <w:rPr>
          <w:rFonts w:cstheme="minorHAnsi"/>
        </w:rPr>
        <w:t>3</w:t>
      </w:r>
    </w:p>
    <w:p w14:paraId="3CAF72CE" w14:textId="77777777" w:rsidR="00274763" w:rsidRPr="006145FA" w:rsidRDefault="00274763" w:rsidP="00274763">
      <w:pPr>
        <w:rPr>
          <w:rFonts w:cstheme="minorHAnsi"/>
        </w:rPr>
      </w:pPr>
      <w:r w:rsidRPr="006145FA">
        <w:rPr>
          <w:rFonts w:cstheme="minorHAnsi"/>
          <w:u w:val="single"/>
        </w:rPr>
        <w:t>Issued By</w:t>
      </w:r>
      <w:r w:rsidRPr="006145FA">
        <w:rPr>
          <w:rFonts w:cstheme="minorHAnsi"/>
        </w:rPr>
        <w:t>: The Office of Research Administration (ORA)</w:t>
      </w:r>
    </w:p>
    <w:p w14:paraId="31D4205A" w14:textId="77777777" w:rsidR="00274763" w:rsidRPr="006145FA" w:rsidRDefault="00274763" w:rsidP="00274763">
      <w:pPr>
        <w:rPr>
          <w:rFonts w:cstheme="minorHAnsi"/>
        </w:rPr>
      </w:pPr>
      <w:r w:rsidRPr="006145FA">
        <w:rPr>
          <w:rFonts w:cstheme="minorHAnsi"/>
          <w:u w:val="single"/>
        </w:rPr>
        <w:t>Responsible parties</w:t>
      </w:r>
      <w:r w:rsidRPr="006145FA">
        <w:rPr>
          <w:rFonts w:cstheme="minorHAnsi"/>
        </w:rPr>
        <w:t>:</w:t>
      </w:r>
    </w:p>
    <w:p w14:paraId="54C25AB1" w14:textId="77777777" w:rsidR="00274763" w:rsidRPr="00325138" w:rsidRDefault="00274763" w:rsidP="00325138">
      <w:pPr>
        <w:pStyle w:val="ListParagraph"/>
        <w:numPr>
          <w:ilvl w:val="0"/>
          <w:numId w:val="1"/>
        </w:numPr>
        <w:rPr>
          <w:rFonts w:cstheme="minorHAnsi"/>
        </w:rPr>
      </w:pPr>
      <w:r w:rsidRPr="00325138">
        <w:rPr>
          <w:rFonts w:cstheme="minorHAnsi"/>
        </w:rPr>
        <w:t xml:space="preserve">Department Administrators </w:t>
      </w:r>
    </w:p>
    <w:p w14:paraId="3F1E2493" w14:textId="05C902AB" w:rsidR="00274763" w:rsidRPr="006145FA" w:rsidRDefault="00422B8C" w:rsidP="00274763">
      <w:pPr>
        <w:pStyle w:val="ListParagraph"/>
        <w:numPr>
          <w:ilvl w:val="0"/>
          <w:numId w:val="1"/>
        </w:numPr>
        <w:rPr>
          <w:rFonts w:cstheme="minorHAnsi"/>
        </w:rPr>
      </w:pPr>
      <w:r>
        <w:rPr>
          <w:rFonts w:cstheme="minorHAnsi"/>
        </w:rPr>
        <w:t>Sponsored Programs Finance</w:t>
      </w:r>
      <w:r w:rsidR="00155CD6">
        <w:rPr>
          <w:rFonts w:cstheme="minorHAnsi"/>
        </w:rPr>
        <w:t xml:space="preserve"> (SPF)</w:t>
      </w:r>
      <w:r>
        <w:rPr>
          <w:rFonts w:cstheme="minorHAnsi"/>
        </w:rPr>
        <w:t xml:space="preserve"> FAs – Financial Analysts</w:t>
      </w:r>
    </w:p>
    <w:p w14:paraId="026DE0F1" w14:textId="77777777" w:rsidR="00274763" w:rsidRPr="006145FA" w:rsidRDefault="00274763" w:rsidP="00274763">
      <w:pPr>
        <w:pStyle w:val="ListParagraph"/>
        <w:numPr>
          <w:ilvl w:val="0"/>
          <w:numId w:val="1"/>
        </w:numPr>
        <w:rPr>
          <w:rFonts w:cstheme="minorHAnsi"/>
        </w:rPr>
      </w:pPr>
      <w:r w:rsidRPr="006145FA">
        <w:rPr>
          <w:rFonts w:cstheme="minorHAnsi"/>
        </w:rPr>
        <w:t>GM’s- Grant managers</w:t>
      </w:r>
    </w:p>
    <w:p w14:paraId="4C5B203E" w14:textId="77777777" w:rsidR="00274763" w:rsidRDefault="00274763" w:rsidP="00274763">
      <w:pPr>
        <w:pStyle w:val="ListParagraph"/>
        <w:numPr>
          <w:ilvl w:val="0"/>
          <w:numId w:val="1"/>
        </w:numPr>
        <w:rPr>
          <w:rFonts w:cstheme="minorHAnsi"/>
        </w:rPr>
      </w:pPr>
      <w:r w:rsidRPr="006145FA">
        <w:rPr>
          <w:rFonts w:cstheme="minorHAnsi"/>
        </w:rPr>
        <w:t>PI- Principal Investigator</w:t>
      </w:r>
    </w:p>
    <w:p w14:paraId="0A98392A" w14:textId="1EE4E788" w:rsidR="00335B63" w:rsidRDefault="00335B63" w:rsidP="00274763">
      <w:pPr>
        <w:pStyle w:val="ListParagraph"/>
        <w:numPr>
          <w:ilvl w:val="0"/>
          <w:numId w:val="1"/>
        </w:numPr>
        <w:rPr>
          <w:rFonts w:cstheme="minorHAnsi"/>
        </w:rPr>
      </w:pPr>
      <w:r>
        <w:rPr>
          <w:rFonts w:cstheme="minorHAnsi"/>
        </w:rPr>
        <w:t>Department Chairs</w:t>
      </w:r>
    </w:p>
    <w:p w14:paraId="0ED71047" w14:textId="5A11D18D" w:rsidR="003526A9" w:rsidRDefault="003526A9" w:rsidP="00274763">
      <w:pPr>
        <w:pStyle w:val="ListParagraph"/>
        <w:numPr>
          <w:ilvl w:val="0"/>
          <w:numId w:val="1"/>
        </w:numPr>
        <w:rPr>
          <w:rFonts w:cstheme="minorHAnsi"/>
        </w:rPr>
      </w:pPr>
      <w:r>
        <w:rPr>
          <w:rFonts w:cstheme="minorHAnsi"/>
        </w:rPr>
        <w:t>RP – Research Pharmacy</w:t>
      </w:r>
    </w:p>
    <w:p w14:paraId="51D960A1" w14:textId="75817064" w:rsidR="003526A9" w:rsidRDefault="003526A9" w:rsidP="00274763">
      <w:pPr>
        <w:pStyle w:val="ListParagraph"/>
        <w:numPr>
          <w:ilvl w:val="0"/>
          <w:numId w:val="1"/>
        </w:numPr>
        <w:rPr>
          <w:rFonts w:cstheme="minorHAnsi"/>
        </w:rPr>
      </w:pPr>
      <w:r>
        <w:rPr>
          <w:rFonts w:cstheme="minorHAnsi"/>
        </w:rPr>
        <w:t>Hospital &amp; UPB services</w:t>
      </w:r>
    </w:p>
    <w:p w14:paraId="2E38BDE9" w14:textId="40C8419C" w:rsidR="001059E8" w:rsidRPr="006145FA" w:rsidRDefault="001059E8" w:rsidP="00274763">
      <w:pPr>
        <w:pStyle w:val="ListParagraph"/>
        <w:numPr>
          <w:ilvl w:val="0"/>
          <w:numId w:val="1"/>
        </w:numPr>
        <w:rPr>
          <w:rFonts w:cstheme="minorHAnsi"/>
        </w:rPr>
      </w:pPr>
      <w:r>
        <w:rPr>
          <w:rFonts w:cstheme="minorHAnsi"/>
        </w:rPr>
        <w:t>Office of Human and Research Protection (IRB)</w:t>
      </w:r>
    </w:p>
    <w:p w14:paraId="3AF42CFA" w14:textId="28950A7C" w:rsidR="00422B8C" w:rsidRPr="00422B8C" w:rsidRDefault="00274763" w:rsidP="00422B8C">
      <w:pPr>
        <w:pStyle w:val="ListParagraph"/>
        <w:numPr>
          <w:ilvl w:val="0"/>
          <w:numId w:val="1"/>
        </w:numPr>
        <w:rPr>
          <w:rFonts w:cstheme="minorHAnsi"/>
        </w:rPr>
      </w:pPr>
      <w:r w:rsidRPr="006145FA">
        <w:rPr>
          <w:rFonts w:cstheme="minorHAnsi"/>
        </w:rPr>
        <w:t>RFCO- Research Foundation Central Offic</w:t>
      </w:r>
      <w:r w:rsidR="00422B8C">
        <w:rPr>
          <w:rFonts w:cstheme="minorHAnsi"/>
        </w:rPr>
        <w:t>e</w:t>
      </w:r>
    </w:p>
    <w:p w14:paraId="1D16F3A2" w14:textId="7C109B1C" w:rsidR="00422B8C" w:rsidRDefault="00422B8C" w:rsidP="00422B8C">
      <w:pPr>
        <w:rPr>
          <w:rFonts w:cstheme="minorHAnsi"/>
        </w:rPr>
      </w:pPr>
      <w:r>
        <w:rPr>
          <w:rFonts w:cstheme="minorHAnsi"/>
          <w:u w:val="single"/>
        </w:rPr>
        <w:t>Backgro</w:t>
      </w:r>
      <w:r w:rsidR="003526A9">
        <w:rPr>
          <w:rFonts w:cstheme="minorHAnsi"/>
          <w:u w:val="single"/>
        </w:rPr>
        <w:t>und</w:t>
      </w:r>
    </w:p>
    <w:p w14:paraId="41D126C6" w14:textId="60594FF4" w:rsidR="00422B8C" w:rsidRDefault="00422B8C" w:rsidP="00422B8C">
      <w:pPr>
        <w:rPr>
          <w:rFonts w:cstheme="minorHAnsi"/>
        </w:rPr>
      </w:pPr>
      <w:r>
        <w:rPr>
          <w:rFonts w:cstheme="minorHAnsi"/>
        </w:rPr>
        <w:t xml:space="preserve">All funding </w:t>
      </w:r>
      <w:r w:rsidRPr="006145FA">
        <w:rPr>
          <w:rFonts w:cstheme="minorHAnsi"/>
        </w:rPr>
        <w:t xml:space="preserve">requires an award </w:t>
      </w:r>
      <w:r w:rsidR="00810DC5">
        <w:rPr>
          <w:rFonts w:cstheme="minorHAnsi"/>
        </w:rPr>
        <w:t xml:space="preserve">to </w:t>
      </w:r>
      <w:r w:rsidRPr="006145FA">
        <w:rPr>
          <w:rFonts w:cstheme="minorHAnsi"/>
        </w:rPr>
        <w:t xml:space="preserve">be </w:t>
      </w:r>
      <w:r w:rsidR="003526A9">
        <w:rPr>
          <w:rFonts w:cstheme="minorHAnsi"/>
        </w:rPr>
        <w:t xml:space="preserve">established </w:t>
      </w:r>
      <w:r w:rsidRPr="006145FA">
        <w:rPr>
          <w:rFonts w:cstheme="minorHAnsi"/>
        </w:rPr>
        <w:t xml:space="preserve">in our </w:t>
      </w:r>
      <w:r w:rsidR="003526A9">
        <w:rPr>
          <w:rFonts w:cstheme="minorHAnsi"/>
        </w:rPr>
        <w:t xml:space="preserve">financial </w:t>
      </w:r>
      <w:r w:rsidRPr="006145FA">
        <w:rPr>
          <w:rFonts w:cstheme="minorHAnsi"/>
        </w:rPr>
        <w:t>system of record. Funding must be accompanied by a Notice of Award (NOA)</w:t>
      </w:r>
      <w:r w:rsidR="00813828">
        <w:rPr>
          <w:rFonts w:cstheme="minorHAnsi"/>
        </w:rPr>
        <w:t>, an inbound Subcontract, an award letter, a contract,</w:t>
      </w:r>
      <w:r w:rsidRPr="006145FA">
        <w:rPr>
          <w:rFonts w:cstheme="minorHAnsi"/>
        </w:rPr>
        <w:t xml:space="preserve"> or a letter </w:t>
      </w:r>
      <w:r>
        <w:rPr>
          <w:rFonts w:cstheme="minorHAnsi"/>
        </w:rPr>
        <w:t>(typically in the instances of a gift)</w:t>
      </w:r>
      <w:r w:rsidRPr="006145FA">
        <w:rPr>
          <w:rFonts w:cstheme="minorHAnsi"/>
        </w:rPr>
        <w:t xml:space="preserve">. Each award is a separate </w:t>
      </w:r>
      <w:r w:rsidR="00744B24">
        <w:rPr>
          <w:rFonts w:cstheme="minorHAnsi"/>
        </w:rPr>
        <w:t>funding source</w:t>
      </w:r>
      <w:r w:rsidR="00D5330E" w:rsidRPr="006145FA">
        <w:rPr>
          <w:rFonts w:cstheme="minorHAnsi"/>
        </w:rPr>
        <w:t>,</w:t>
      </w:r>
      <w:r w:rsidRPr="006145FA">
        <w:rPr>
          <w:rFonts w:cstheme="minorHAnsi"/>
        </w:rPr>
        <w:t xml:space="preserve"> and awards will be </w:t>
      </w:r>
      <w:r w:rsidR="00F6122D">
        <w:rPr>
          <w:rFonts w:cstheme="minorHAnsi"/>
        </w:rPr>
        <w:t>set up</w:t>
      </w:r>
      <w:r w:rsidRPr="006145FA">
        <w:rPr>
          <w:rFonts w:cstheme="minorHAnsi"/>
        </w:rPr>
        <w:t xml:space="preserve"> separately so that funds are not comingled with other funds.</w:t>
      </w:r>
    </w:p>
    <w:p w14:paraId="2121EC94" w14:textId="6EC4F01D" w:rsidR="00D5330E" w:rsidRDefault="00422B8C" w:rsidP="00422B8C">
      <w:pPr>
        <w:rPr>
          <w:rFonts w:cstheme="minorHAnsi"/>
        </w:rPr>
      </w:pPr>
      <w:r>
        <w:rPr>
          <w:rFonts w:cstheme="minorHAnsi"/>
        </w:rPr>
        <w:t xml:space="preserve">Most of our awards are cost reimbursable, meaning that the project is funded and spent in accordance with </w:t>
      </w:r>
      <w:r w:rsidR="00F6122D">
        <w:rPr>
          <w:rFonts w:cstheme="minorHAnsi"/>
        </w:rPr>
        <w:t xml:space="preserve">the </w:t>
      </w:r>
      <w:r>
        <w:rPr>
          <w:rFonts w:cstheme="minorHAnsi"/>
        </w:rPr>
        <w:t>time and effort associated with the project</w:t>
      </w:r>
      <w:r w:rsidR="00F6122D">
        <w:rPr>
          <w:rFonts w:cstheme="minorHAnsi"/>
        </w:rPr>
        <w:t>. There</w:t>
      </w:r>
      <w:r w:rsidR="00103503">
        <w:rPr>
          <w:rFonts w:cstheme="minorHAnsi"/>
        </w:rPr>
        <w:t xml:space="preserve"> are no set deliverables</w:t>
      </w:r>
      <w:r w:rsidR="00F6122D">
        <w:rPr>
          <w:rFonts w:cstheme="minorHAnsi"/>
        </w:rPr>
        <w:t>,</w:t>
      </w:r>
      <w:r w:rsidR="00103503">
        <w:rPr>
          <w:rFonts w:cstheme="minorHAnsi"/>
        </w:rPr>
        <w:t xml:space="preserve"> but </w:t>
      </w:r>
      <w:r w:rsidR="00D5330E">
        <w:rPr>
          <w:rFonts w:cstheme="minorHAnsi"/>
        </w:rPr>
        <w:t xml:space="preserve">rather goals or ‘aims’ of the project. Other awards are fixed </w:t>
      </w:r>
      <w:proofErr w:type="gramStart"/>
      <w:r w:rsidR="00D5330E">
        <w:rPr>
          <w:rFonts w:cstheme="minorHAnsi"/>
        </w:rPr>
        <w:t>price</w:t>
      </w:r>
      <w:proofErr w:type="gramEnd"/>
      <w:r w:rsidR="00D5330E">
        <w:rPr>
          <w:rFonts w:cstheme="minorHAnsi"/>
        </w:rPr>
        <w:t xml:space="preserve">, whereby we are paid to meet </w:t>
      </w:r>
      <w:r w:rsidR="00103503">
        <w:rPr>
          <w:rFonts w:cstheme="minorHAnsi"/>
        </w:rPr>
        <w:t>specific</w:t>
      </w:r>
      <w:r w:rsidR="00D5330E">
        <w:rPr>
          <w:rFonts w:cstheme="minorHAnsi"/>
        </w:rPr>
        <w:t xml:space="preserve"> </w:t>
      </w:r>
      <w:r w:rsidR="00F6122D">
        <w:rPr>
          <w:rFonts w:cstheme="minorHAnsi"/>
        </w:rPr>
        <w:t>deliverables,</w:t>
      </w:r>
      <w:r w:rsidR="00D5330E">
        <w:rPr>
          <w:rFonts w:cstheme="minorHAnsi"/>
        </w:rPr>
        <w:t xml:space="preserve"> and a fixed price is associated with these deliverables. </w:t>
      </w:r>
      <w:r w:rsidR="00103503">
        <w:rPr>
          <w:rFonts w:cstheme="minorHAnsi"/>
        </w:rPr>
        <w:t>The sponsor often establishes the actual cost,</w:t>
      </w:r>
      <w:r w:rsidR="00D5330E">
        <w:rPr>
          <w:rFonts w:cstheme="minorHAnsi"/>
        </w:rPr>
        <w:t xml:space="preserve"> and in some instances, the prices are negotiable.</w:t>
      </w:r>
    </w:p>
    <w:p w14:paraId="2A231312" w14:textId="2D2FE9E1" w:rsidR="00586059" w:rsidRPr="00C36DE1" w:rsidRDefault="00586059" w:rsidP="00422B8C">
      <w:pPr>
        <w:rPr>
          <w:rFonts w:cstheme="minorHAnsi"/>
          <w:b/>
          <w:bCs/>
          <w:i/>
          <w:iCs/>
        </w:rPr>
      </w:pPr>
      <w:r w:rsidRPr="00C36DE1">
        <w:rPr>
          <w:rFonts w:cstheme="minorHAnsi"/>
          <w:b/>
          <w:bCs/>
          <w:i/>
          <w:iCs/>
        </w:rPr>
        <w:t xml:space="preserve">This policy </w:t>
      </w:r>
      <w:r w:rsidR="00C36DE1" w:rsidRPr="00C36DE1">
        <w:rPr>
          <w:rFonts w:cstheme="minorHAnsi"/>
          <w:b/>
          <w:bCs/>
          <w:i/>
          <w:iCs/>
        </w:rPr>
        <w:t xml:space="preserve">is PI-specific and </w:t>
      </w:r>
      <w:r w:rsidRPr="00C36DE1">
        <w:rPr>
          <w:rFonts w:cstheme="minorHAnsi"/>
          <w:b/>
          <w:bCs/>
          <w:i/>
          <w:iCs/>
        </w:rPr>
        <w:t>doesn’t apply to programs, centers</w:t>
      </w:r>
      <w:r w:rsidR="009E5AEA">
        <w:rPr>
          <w:rFonts w:cstheme="minorHAnsi"/>
          <w:b/>
          <w:bCs/>
          <w:i/>
          <w:iCs/>
        </w:rPr>
        <w:t>,</w:t>
      </w:r>
      <w:r w:rsidRPr="00C36DE1">
        <w:rPr>
          <w:rFonts w:cstheme="minorHAnsi"/>
          <w:b/>
          <w:bCs/>
          <w:i/>
          <w:iCs/>
        </w:rPr>
        <w:t xml:space="preserve"> and institutes. There is a separate residual policy for t</w:t>
      </w:r>
      <w:r w:rsidR="00C36DE1">
        <w:rPr>
          <w:rFonts w:cstheme="minorHAnsi"/>
          <w:b/>
          <w:bCs/>
          <w:i/>
          <w:iCs/>
        </w:rPr>
        <w:t>hese</w:t>
      </w:r>
      <w:r w:rsidRPr="00C36DE1">
        <w:rPr>
          <w:rFonts w:cstheme="minorHAnsi"/>
          <w:b/>
          <w:bCs/>
          <w:i/>
          <w:iCs/>
        </w:rPr>
        <w:t>.</w:t>
      </w:r>
    </w:p>
    <w:p w14:paraId="1450A7C9" w14:textId="77777777" w:rsidR="00A75308" w:rsidRDefault="00A75308" w:rsidP="00422B8C">
      <w:pPr>
        <w:rPr>
          <w:rFonts w:cstheme="minorHAnsi"/>
          <w:u w:val="single"/>
        </w:rPr>
      </w:pPr>
    </w:p>
    <w:p w14:paraId="059E77E2" w14:textId="77777777" w:rsidR="00A75308" w:rsidRDefault="00A75308" w:rsidP="00422B8C">
      <w:pPr>
        <w:rPr>
          <w:rFonts w:cstheme="minorHAnsi"/>
          <w:u w:val="single"/>
        </w:rPr>
      </w:pPr>
    </w:p>
    <w:p w14:paraId="5001C702" w14:textId="43C8B397" w:rsidR="00D5330E" w:rsidRDefault="00D5330E" w:rsidP="00422B8C">
      <w:pPr>
        <w:rPr>
          <w:rFonts w:cstheme="minorHAnsi"/>
        </w:rPr>
      </w:pPr>
      <w:r>
        <w:rPr>
          <w:rFonts w:cstheme="minorHAnsi"/>
          <w:u w:val="single"/>
        </w:rPr>
        <w:lastRenderedPageBreak/>
        <w:t>General Responsibilities</w:t>
      </w:r>
    </w:p>
    <w:p w14:paraId="64C97079" w14:textId="0CB1F819" w:rsidR="003526A9" w:rsidRDefault="003526A9" w:rsidP="003526A9">
      <w:r>
        <w:t xml:space="preserve">The RF is responsible </w:t>
      </w:r>
      <w:r w:rsidR="00475A59">
        <w:t xml:space="preserve">for ensuring that all project-related bills are paid and expenses are accounted for </w:t>
      </w:r>
      <w:r w:rsidR="00F6122D">
        <w:t>before</w:t>
      </w:r>
      <w:r w:rsidR="00475A59">
        <w:t xml:space="preserve"> </w:t>
      </w:r>
      <w:r w:rsidR="00810DC5">
        <w:t>any cash movement</w:t>
      </w:r>
      <w:r w:rsidR="00475A59">
        <w:t xml:space="preserve"> due to residual balances on fixed-price awards. This includes payroll (State and RF), pharmacy costs, hospital</w:t>
      </w:r>
      <w:r w:rsidR="00F6122D">
        <w:t xml:space="preserve"> costs</w:t>
      </w:r>
      <w:r w:rsidR="00475A59">
        <w:t>,</w:t>
      </w:r>
      <w:r>
        <w:t xml:space="preserve"> and UPB costs.</w:t>
      </w:r>
    </w:p>
    <w:p w14:paraId="6A845DD0" w14:textId="2DC6FE69" w:rsidR="00CB437E" w:rsidRDefault="003526A9" w:rsidP="00422B8C">
      <w:pPr>
        <w:rPr>
          <w:rFonts w:cstheme="minorHAnsi"/>
        </w:rPr>
      </w:pPr>
      <w:r>
        <w:rPr>
          <w:rFonts w:cstheme="minorHAnsi"/>
        </w:rPr>
        <w:t xml:space="preserve">All campus departments are responsible for billing </w:t>
      </w:r>
      <w:r w:rsidR="0015749B">
        <w:rPr>
          <w:rFonts w:cstheme="minorHAnsi"/>
        </w:rPr>
        <w:t xml:space="preserve">promptly </w:t>
      </w:r>
      <w:r>
        <w:rPr>
          <w:rFonts w:cstheme="minorHAnsi"/>
        </w:rPr>
        <w:t>and ensuring monies are received in accordance with their billing procedures. PIs using campus services should be providing the hospital and UPB with accurate information so that they are able to associate a service with a particular study/participant.</w:t>
      </w:r>
    </w:p>
    <w:p w14:paraId="7048C750" w14:textId="368EFA9D" w:rsidR="0039768B" w:rsidRDefault="0039768B" w:rsidP="0039768B">
      <w:pPr>
        <w:rPr>
          <w:rFonts w:cstheme="minorHAnsi"/>
          <w:u w:val="single"/>
        </w:rPr>
      </w:pPr>
      <w:r>
        <w:rPr>
          <w:rFonts w:cstheme="minorHAnsi"/>
          <w:u w:val="single"/>
        </w:rPr>
        <w:t>Residual balance definition</w:t>
      </w:r>
    </w:p>
    <w:p w14:paraId="6CA75E6A" w14:textId="041A99C5" w:rsidR="0039768B" w:rsidRDefault="0039768B" w:rsidP="00422B8C">
      <w:pPr>
        <w:rPr>
          <w:rFonts w:cstheme="minorHAnsi"/>
          <w:u w:val="single"/>
        </w:rPr>
      </w:pPr>
      <w:r>
        <w:t xml:space="preserve">“Residual balance” is defined as the remaining funds at the completion of a </w:t>
      </w:r>
      <w:r w:rsidR="00866843">
        <w:t>study</w:t>
      </w:r>
      <w:r>
        <w:t xml:space="preserve"> AFTER all outstanding bills and ORA financial obligations are completely settled. For example, </w:t>
      </w:r>
      <w:r w:rsidR="0013616F">
        <w:t>suppose during the study an ORA-assigned coordinator was used. In that case,</w:t>
      </w:r>
      <w:r w:rsidR="00562227">
        <w:t xml:space="preserve"> all</w:t>
      </w:r>
      <w:r>
        <w:t xml:space="preserve"> coordinator personnel costs</w:t>
      </w:r>
      <w:r w:rsidR="00AF44E9">
        <w:t xml:space="preserve"> (based on the coordinator effort established at the beginning of the study), regardless of whether enrollment has occurred, and any additional ORA support, such as recruitment, </w:t>
      </w:r>
      <w:proofErr w:type="spellStart"/>
      <w:r w:rsidR="00AF44E9">
        <w:t>TriNetX</w:t>
      </w:r>
      <w:proofErr w:type="spellEnd"/>
      <w:r w:rsidR="00AF44E9">
        <w:t>, etc.,</w:t>
      </w:r>
      <w:r w:rsidR="00F664DA">
        <w:t xml:space="preserve"> </w:t>
      </w:r>
      <w:r w:rsidR="00562227">
        <w:t>must be reimbursed to ORA</w:t>
      </w:r>
      <w:r w:rsidR="00AF44E9">
        <w:t>.</w:t>
      </w:r>
      <w:r>
        <w:t xml:space="preserve"> </w:t>
      </w:r>
      <w:r w:rsidR="0015250B">
        <w:t>After all outstanding bills and ORA financial obligations are covered, the remaining money is the “residual balance”.</w:t>
      </w:r>
    </w:p>
    <w:p w14:paraId="0C7BBD4B" w14:textId="63F41E2E" w:rsidR="00CB437E" w:rsidRDefault="00D12F78" w:rsidP="00422B8C">
      <w:pPr>
        <w:rPr>
          <w:rFonts w:cstheme="minorHAnsi"/>
          <w:u w:val="single"/>
        </w:rPr>
      </w:pPr>
      <w:r>
        <w:rPr>
          <w:rFonts w:cstheme="minorHAnsi"/>
          <w:u w:val="single"/>
        </w:rPr>
        <w:t xml:space="preserve">Residual balance </w:t>
      </w:r>
      <w:r w:rsidR="003B376A">
        <w:rPr>
          <w:rFonts w:cstheme="minorHAnsi"/>
          <w:u w:val="single"/>
        </w:rPr>
        <w:t>disbursement</w:t>
      </w:r>
      <w:r w:rsidR="00A82A63">
        <w:rPr>
          <w:rFonts w:cstheme="minorHAnsi"/>
          <w:u w:val="single"/>
        </w:rPr>
        <w:t xml:space="preserve"> </w:t>
      </w:r>
    </w:p>
    <w:p w14:paraId="6CE1CB8B" w14:textId="776D3A38" w:rsidR="00D232B9" w:rsidRDefault="00C21132" w:rsidP="00D12F78">
      <w:r>
        <w:t>If</w:t>
      </w:r>
      <w:r w:rsidR="002A4550">
        <w:t xml:space="preserve"> </w:t>
      </w:r>
      <w:r>
        <w:t>there is a residual balance</w:t>
      </w:r>
      <w:r w:rsidR="00D12F78">
        <w:t xml:space="preserve">, the PI and/or department personnel are responsible for completing a </w:t>
      </w:r>
      <w:hyperlink r:id="rId7" w:history="1">
        <w:r w:rsidR="00D12F78" w:rsidRPr="00335B63">
          <w:rPr>
            <w:rStyle w:val="Hyperlink"/>
          </w:rPr>
          <w:t xml:space="preserve">Residual Balance Certification form </w:t>
        </w:r>
      </w:hyperlink>
      <w:r w:rsidR="00D12F78">
        <w:t>and obtaining the signatures of the other responsible parties.</w:t>
      </w:r>
      <w:r w:rsidR="00471E36">
        <w:t xml:space="preserve"> These signatures are required to ensure that all invoices have been paid, including confirmation that </w:t>
      </w:r>
      <w:r w:rsidR="00EB7594">
        <w:t xml:space="preserve">the </w:t>
      </w:r>
      <w:r w:rsidR="003717C3">
        <w:t xml:space="preserve">study is closed </w:t>
      </w:r>
      <w:proofErr w:type="gramStart"/>
      <w:r w:rsidR="003717C3">
        <w:t>per</w:t>
      </w:r>
      <w:proofErr w:type="gramEnd"/>
      <w:r w:rsidR="003717C3">
        <w:t xml:space="preserve"> the IRB. </w:t>
      </w:r>
      <w:r w:rsidR="00594268">
        <w:t>If no applicable services were</w:t>
      </w:r>
      <w:r w:rsidR="00811C9C">
        <w:t xml:space="preserve"> provided</w:t>
      </w:r>
      <w:r w:rsidR="003717C3">
        <w:t>, the signatory should indicate ‘N/A’ and sign the form</w:t>
      </w:r>
      <w:r w:rsidR="00811C9C">
        <w:t xml:space="preserve"> where indicated.</w:t>
      </w:r>
    </w:p>
    <w:p w14:paraId="0CF8ACE2" w14:textId="6EAF5670" w:rsidR="000E0983" w:rsidRDefault="00594268" w:rsidP="00D12F78">
      <w:r>
        <w:t>Before</w:t>
      </w:r>
      <w:r w:rsidR="00D12F78">
        <w:t xml:space="preserve"> </w:t>
      </w:r>
      <w:r w:rsidR="002A4550">
        <w:t>dispersing</w:t>
      </w:r>
      <w:r w:rsidR="00D12F78">
        <w:t xml:space="preserve"> a residual balance, F&amp;A costs will be deducted from the account</w:t>
      </w:r>
      <w:r w:rsidR="008420FD">
        <w:t xml:space="preserve"> </w:t>
      </w:r>
      <w:r w:rsidR="00D12F78">
        <w:t xml:space="preserve">(at the rate assessed at award activation or 14.9%, whichever is greater). </w:t>
      </w:r>
    </w:p>
    <w:p w14:paraId="1AA68A07" w14:textId="1571B3A2" w:rsidR="000E0983" w:rsidRDefault="000E0983" w:rsidP="00D12F78">
      <w:r>
        <w:t>The allocation for</w:t>
      </w:r>
      <w:r w:rsidR="00B46318">
        <w:t xml:space="preserve"> </w:t>
      </w:r>
      <w:r w:rsidR="002A4550">
        <w:t>dispersing a</w:t>
      </w:r>
      <w:r>
        <w:t xml:space="preserve"> residual balance</w:t>
      </w:r>
      <w:r w:rsidR="0015250B">
        <w:t>, after F&amp;A costs are deducted,</w:t>
      </w:r>
      <w:r>
        <w:t xml:space="preserve"> is as follows:</w:t>
      </w:r>
    </w:p>
    <w:p w14:paraId="404522CA" w14:textId="583EE5DF" w:rsidR="005F4648" w:rsidRDefault="000E0983" w:rsidP="000E0983">
      <w:pPr>
        <w:pStyle w:val="ListParagraph"/>
        <w:numPr>
          <w:ilvl w:val="0"/>
          <w:numId w:val="2"/>
        </w:numPr>
      </w:pPr>
      <w:r>
        <w:t xml:space="preserve">Balances </w:t>
      </w:r>
      <w:r w:rsidR="00FA6909">
        <w:t xml:space="preserve">equal to or </w:t>
      </w:r>
      <w:r>
        <w:t>l</w:t>
      </w:r>
      <w:r w:rsidR="00D12F78">
        <w:t>ess than $1,001.00</w:t>
      </w:r>
    </w:p>
    <w:p w14:paraId="553E4F66" w14:textId="12D625C1" w:rsidR="005F4648" w:rsidRDefault="00D12F78" w:rsidP="005F4648">
      <w:pPr>
        <w:pStyle w:val="ListParagraph"/>
        <w:numPr>
          <w:ilvl w:val="1"/>
          <w:numId w:val="2"/>
        </w:numPr>
      </w:pPr>
      <w:r>
        <w:t xml:space="preserve">PI </w:t>
      </w:r>
      <w:proofErr w:type="gramStart"/>
      <w:r>
        <w:t>retains</w:t>
      </w:r>
      <w:proofErr w:type="gramEnd"/>
      <w:r>
        <w:t xml:space="preserve"> </w:t>
      </w:r>
      <w:r w:rsidR="00654564">
        <w:t>9</w:t>
      </w:r>
      <w:r w:rsidR="00FD3629">
        <w:t>0</w:t>
      </w:r>
      <w:r>
        <w:t>%</w:t>
      </w:r>
    </w:p>
    <w:p w14:paraId="013837CF" w14:textId="4E9E0890" w:rsidR="00C36DE1" w:rsidRDefault="00C36DE1" w:rsidP="005F4648">
      <w:pPr>
        <w:pStyle w:val="ListParagraph"/>
        <w:numPr>
          <w:ilvl w:val="1"/>
          <w:numId w:val="2"/>
        </w:numPr>
      </w:pPr>
      <w:r>
        <w:t>Department Chair retains 5%</w:t>
      </w:r>
    </w:p>
    <w:p w14:paraId="7AD59258" w14:textId="24FE05EC" w:rsidR="00BC294B" w:rsidRDefault="00D12F78" w:rsidP="005F4648">
      <w:pPr>
        <w:pStyle w:val="ListParagraph"/>
        <w:numPr>
          <w:ilvl w:val="1"/>
          <w:numId w:val="2"/>
        </w:numPr>
      </w:pPr>
      <w:r>
        <w:t xml:space="preserve">ORA retains </w:t>
      </w:r>
      <w:r w:rsidR="00654564">
        <w:t>5</w:t>
      </w:r>
      <w:r>
        <w:t xml:space="preserve">% </w:t>
      </w:r>
      <w:r w:rsidR="000300D7">
        <w:t xml:space="preserve"> </w:t>
      </w:r>
    </w:p>
    <w:p w14:paraId="4B6836BB" w14:textId="77777777" w:rsidR="00BC294B" w:rsidRDefault="00BC294B" w:rsidP="00BC294B">
      <w:pPr>
        <w:pStyle w:val="ListParagraph"/>
        <w:ind w:left="1440"/>
      </w:pPr>
    </w:p>
    <w:p w14:paraId="1D6516FD" w14:textId="5C28239F" w:rsidR="00594796" w:rsidRDefault="00D12F78" w:rsidP="00BC294B">
      <w:pPr>
        <w:pStyle w:val="ListParagraph"/>
        <w:numPr>
          <w:ilvl w:val="0"/>
          <w:numId w:val="2"/>
        </w:numPr>
      </w:pPr>
      <w:r>
        <w:t>For balances greater than $1,00</w:t>
      </w:r>
      <w:r w:rsidR="00FA6909">
        <w:t>1</w:t>
      </w:r>
      <w:r>
        <w:t>.00</w:t>
      </w:r>
    </w:p>
    <w:p w14:paraId="3DED38F8" w14:textId="09088DD5" w:rsidR="00594796" w:rsidRDefault="00D12F78" w:rsidP="00594796">
      <w:pPr>
        <w:pStyle w:val="ListParagraph"/>
        <w:numPr>
          <w:ilvl w:val="1"/>
          <w:numId w:val="2"/>
        </w:numPr>
      </w:pPr>
      <w:r>
        <w:t xml:space="preserve">PI </w:t>
      </w:r>
      <w:proofErr w:type="gramStart"/>
      <w:r>
        <w:t>retains</w:t>
      </w:r>
      <w:proofErr w:type="gramEnd"/>
      <w:r>
        <w:t xml:space="preserve"> </w:t>
      </w:r>
      <w:r w:rsidR="00654564">
        <w:t>75</w:t>
      </w:r>
      <w:r>
        <w:t>%</w:t>
      </w:r>
    </w:p>
    <w:p w14:paraId="43ECCD66" w14:textId="1D8B2BBE" w:rsidR="00654564" w:rsidRDefault="00654564" w:rsidP="00594796">
      <w:pPr>
        <w:pStyle w:val="ListParagraph"/>
        <w:numPr>
          <w:ilvl w:val="1"/>
          <w:numId w:val="2"/>
        </w:numPr>
      </w:pPr>
      <w:r>
        <w:t>Department Chair retains 10%</w:t>
      </w:r>
    </w:p>
    <w:p w14:paraId="14F66BB1" w14:textId="77BA18FC" w:rsidR="00155CD6" w:rsidRDefault="00D12F78" w:rsidP="00155CD6">
      <w:pPr>
        <w:pStyle w:val="ListParagraph"/>
        <w:numPr>
          <w:ilvl w:val="1"/>
          <w:numId w:val="2"/>
        </w:numPr>
      </w:pPr>
      <w:r>
        <w:t xml:space="preserve">ORA </w:t>
      </w:r>
      <w:proofErr w:type="gramStart"/>
      <w:r>
        <w:t>retains</w:t>
      </w:r>
      <w:proofErr w:type="gramEnd"/>
      <w:r>
        <w:t xml:space="preserve"> </w:t>
      </w:r>
      <w:r w:rsidR="00654564">
        <w:t>15</w:t>
      </w:r>
      <w:r>
        <w:t>%</w:t>
      </w:r>
      <w:r w:rsidR="00594796">
        <w:t xml:space="preserve"> </w:t>
      </w:r>
    </w:p>
    <w:p w14:paraId="04F40F36" w14:textId="08DE54FD" w:rsidR="001462D7" w:rsidRDefault="00155CD6" w:rsidP="00155CD6">
      <w:r>
        <w:lastRenderedPageBreak/>
        <w:t xml:space="preserve">Once </w:t>
      </w:r>
      <w:r w:rsidR="005804CF">
        <w:t>all parties have signed the form</w:t>
      </w:r>
      <w:r>
        <w:t xml:space="preserve">, </w:t>
      </w:r>
      <w:r w:rsidR="005804CF">
        <w:t>the PI and/or department personnel must</w:t>
      </w:r>
      <w:r>
        <w:t xml:space="preserve"> submit the form to Sponsored Programs Finance</w:t>
      </w:r>
      <w:r w:rsidR="0056022D">
        <w:t xml:space="preserve"> (SPF)</w:t>
      </w:r>
      <w:r>
        <w:t xml:space="preserve">. </w:t>
      </w:r>
      <w:r w:rsidR="0056022D">
        <w:t xml:space="preserve"> SPF, working with RFCO, will move the allocation as described above</w:t>
      </w:r>
      <w:r w:rsidR="001462D7">
        <w:t xml:space="preserve">.  </w:t>
      </w:r>
    </w:p>
    <w:p w14:paraId="41291D07" w14:textId="4AB713DF" w:rsidR="002B008E" w:rsidRDefault="001462D7" w:rsidP="00155CD6">
      <w:r>
        <w:t xml:space="preserve">A new balance account will be established for the </w:t>
      </w:r>
      <w:r w:rsidR="0021603C">
        <w:t>PI,</w:t>
      </w:r>
      <w:r>
        <w:t xml:space="preserve"> and the sponsored award will be close</w:t>
      </w:r>
      <w:r w:rsidR="002B008E">
        <w:t>d.</w:t>
      </w:r>
    </w:p>
    <w:p w14:paraId="63151E91" w14:textId="40CCB178" w:rsidR="004879AF" w:rsidRDefault="004879AF" w:rsidP="00155CD6">
      <w:r>
        <w:rPr>
          <w:u w:val="single"/>
        </w:rPr>
        <w:t>Spending on balance accounts</w:t>
      </w:r>
    </w:p>
    <w:p w14:paraId="5F83700D" w14:textId="77777777" w:rsidR="00F30DEE" w:rsidRDefault="003E21B7" w:rsidP="00155CD6">
      <w:r>
        <w:t>RF policy must be adhered to for spending on these awards. The</w:t>
      </w:r>
      <w:r w:rsidR="00266EBF">
        <w:t xml:space="preserve"> funds must</w:t>
      </w:r>
      <w:r>
        <w:t xml:space="preserve"> be used to support research activities</w:t>
      </w:r>
      <w:r w:rsidR="00266EBF">
        <w:t xml:space="preserve"> and the same disallowances following RF policy still apply.</w:t>
      </w:r>
    </w:p>
    <w:p w14:paraId="3B7F1D09" w14:textId="77777777" w:rsidR="00F30DEE" w:rsidRDefault="00F30DEE" w:rsidP="00155CD6"/>
    <w:p w14:paraId="3AA0EB43" w14:textId="77777777" w:rsidR="00F30DEE" w:rsidRDefault="00F30DEE" w:rsidP="00155CD6"/>
    <w:p w14:paraId="165F7E90" w14:textId="77777777" w:rsidR="00F30DEE" w:rsidRDefault="00F30DEE" w:rsidP="00155CD6">
      <w:r>
        <w:rPr>
          <w:u w:val="single"/>
        </w:rPr>
        <w:t>Related forms</w:t>
      </w:r>
    </w:p>
    <w:p w14:paraId="64AEF971" w14:textId="6A079363" w:rsidR="00EE510E" w:rsidRPr="003526A9" w:rsidRDefault="00F81273">
      <w:pPr>
        <w:rPr>
          <w:u w:val="single"/>
        </w:rPr>
      </w:pPr>
      <w:hyperlink r:id="rId8" w:history="1">
        <w:r w:rsidRPr="00F81273">
          <w:rPr>
            <w:rStyle w:val="Hyperlink"/>
          </w:rPr>
          <w:t xml:space="preserve">Residual Balance Certification form </w:t>
        </w:r>
      </w:hyperlink>
    </w:p>
    <w:sectPr w:rsidR="00EE510E" w:rsidRPr="003526A9" w:rsidSect="00EA6BCC">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36E4" w14:textId="77777777" w:rsidR="00FE4D09" w:rsidRDefault="00FE4D09" w:rsidP="003947E9">
      <w:pPr>
        <w:spacing w:after="0" w:line="240" w:lineRule="auto"/>
      </w:pPr>
      <w:r>
        <w:separator/>
      </w:r>
    </w:p>
  </w:endnote>
  <w:endnote w:type="continuationSeparator" w:id="0">
    <w:p w14:paraId="22DB9981" w14:textId="77777777" w:rsidR="00FE4D09" w:rsidRDefault="00FE4D09" w:rsidP="0039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C16A" w14:textId="379840C3" w:rsidR="003947E9" w:rsidRDefault="003947E9" w:rsidP="00F50C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F569" w14:textId="77777777" w:rsidR="00FE4D09" w:rsidRDefault="00FE4D09" w:rsidP="003947E9">
      <w:pPr>
        <w:spacing w:after="0" w:line="240" w:lineRule="auto"/>
      </w:pPr>
      <w:r>
        <w:separator/>
      </w:r>
    </w:p>
  </w:footnote>
  <w:footnote w:type="continuationSeparator" w:id="0">
    <w:p w14:paraId="41361F85" w14:textId="77777777" w:rsidR="00FE4D09" w:rsidRDefault="00FE4D09" w:rsidP="00394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1D43" w14:textId="77777777" w:rsidR="003947E9" w:rsidRDefault="003947E9" w:rsidP="00C62C55">
    <w:pPr>
      <w:pStyle w:val="Header"/>
      <w:rPr>
        <w:noProof/>
      </w:rPr>
    </w:pPr>
    <w:r>
      <w:rPr>
        <w:noProof/>
      </w:rPr>
      <w:drawing>
        <wp:inline distT="0" distB="0" distL="0" distR="0" wp14:anchorId="7B4C6AF4" wp14:editId="3DAFFC71">
          <wp:extent cx="1219200" cy="77851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78510"/>
                  </a:xfrm>
                  <a:prstGeom prst="rect">
                    <a:avLst/>
                  </a:prstGeom>
                  <a:noFill/>
                  <a:ln>
                    <a:noFill/>
                  </a:ln>
                </pic:spPr>
              </pic:pic>
            </a:graphicData>
          </a:graphic>
        </wp:inline>
      </w:drawing>
    </w:r>
  </w:p>
  <w:p w14:paraId="18637EF1" w14:textId="77777777" w:rsidR="003947E9" w:rsidRDefault="003947E9" w:rsidP="00C62C55">
    <w:pPr>
      <w:pStyle w:val="EnvelopeReturn"/>
      <w:rPr>
        <w:rFonts w:ascii="Calibri" w:hAnsi="Calibri"/>
        <w:color w:val="0066FF"/>
      </w:rPr>
    </w:pPr>
  </w:p>
  <w:p w14:paraId="3C0990BC" w14:textId="77777777" w:rsidR="003947E9" w:rsidRDefault="003947E9" w:rsidP="00C62C55">
    <w:pPr>
      <w:pStyle w:val="EnvelopeReturn"/>
      <w:rPr>
        <w:rFonts w:ascii="Calibri" w:hAnsi="Calibri"/>
        <w:color w:val="0066FF"/>
      </w:rPr>
    </w:pPr>
    <w:r>
      <w:rPr>
        <w:rFonts w:ascii="Calibri" w:hAnsi="Calibri"/>
        <w:color w:val="0066FF"/>
      </w:rPr>
      <w:t>Downstate Health Sciences University</w:t>
    </w:r>
  </w:p>
  <w:p w14:paraId="56024414" w14:textId="77777777" w:rsidR="003947E9" w:rsidRPr="00CA0F27" w:rsidRDefault="003947E9" w:rsidP="00C62C55">
    <w:pPr>
      <w:pStyle w:val="EnvelopeReturn"/>
      <w:rPr>
        <w:rFonts w:ascii="Calibri" w:hAnsi="Calibri"/>
        <w:color w:val="0066FF"/>
      </w:rPr>
    </w:pPr>
    <w:r>
      <w:rPr>
        <w:rFonts w:ascii="Calibri" w:hAnsi="Calibri"/>
        <w:color w:val="0066FF"/>
      </w:rPr>
      <w:t>Office of Research Administration</w:t>
    </w:r>
  </w:p>
  <w:p w14:paraId="2FFA8D8E" w14:textId="77777777" w:rsidR="003947E9" w:rsidRDefault="00394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37A8"/>
    <w:multiLevelType w:val="hybridMultilevel"/>
    <w:tmpl w:val="CC103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700E15"/>
    <w:multiLevelType w:val="hybridMultilevel"/>
    <w:tmpl w:val="FEB2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532995">
    <w:abstractNumId w:val="1"/>
  </w:num>
  <w:num w:numId="2" w16cid:durableId="130443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763"/>
    <w:rsid w:val="0001602A"/>
    <w:rsid w:val="000300D7"/>
    <w:rsid w:val="000818FF"/>
    <w:rsid w:val="0009710E"/>
    <w:rsid w:val="000C4F9A"/>
    <w:rsid w:val="000E0983"/>
    <w:rsid w:val="000F4E10"/>
    <w:rsid w:val="00100481"/>
    <w:rsid w:val="00103503"/>
    <w:rsid w:val="001059E8"/>
    <w:rsid w:val="0013616F"/>
    <w:rsid w:val="0013714C"/>
    <w:rsid w:val="001462D7"/>
    <w:rsid w:val="0015250B"/>
    <w:rsid w:val="00153961"/>
    <w:rsid w:val="00155CD6"/>
    <w:rsid w:val="0015749B"/>
    <w:rsid w:val="001C2909"/>
    <w:rsid w:val="001F35DE"/>
    <w:rsid w:val="0021603C"/>
    <w:rsid w:val="002525B9"/>
    <w:rsid w:val="00266EBF"/>
    <w:rsid w:val="00274763"/>
    <w:rsid w:val="002A4550"/>
    <w:rsid w:val="002B008E"/>
    <w:rsid w:val="002D7E9D"/>
    <w:rsid w:val="00325138"/>
    <w:rsid w:val="0033156E"/>
    <w:rsid w:val="00335B63"/>
    <w:rsid w:val="003526A9"/>
    <w:rsid w:val="003717C3"/>
    <w:rsid w:val="00375A77"/>
    <w:rsid w:val="003947E9"/>
    <w:rsid w:val="0039768B"/>
    <w:rsid w:val="003B376A"/>
    <w:rsid w:val="003E21B7"/>
    <w:rsid w:val="00422B8C"/>
    <w:rsid w:val="0042414C"/>
    <w:rsid w:val="00436239"/>
    <w:rsid w:val="0047099C"/>
    <w:rsid w:val="00471E36"/>
    <w:rsid w:val="00475A59"/>
    <w:rsid w:val="00477697"/>
    <w:rsid w:val="004879AF"/>
    <w:rsid w:val="00493589"/>
    <w:rsid w:val="004A49ED"/>
    <w:rsid w:val="004B18FE"/>
    <w:rsid w:val="004C0209"/>
    <w:rsid w:val="004D4BF5"/>
    <w:rsid w:val="00551069"/>
    <w:rsid w:val="0055538F"/>
    <w:rsid w:val="0056022D"/>
    <w:rsid w:val="00562227"/>
    <w:rsid w:val="005804CF"/>
    <w:rsid w:val="00585D22"/>
    <w:rsid w:val="00586059"/>
    <w:rsid w:val="00594268"/>
    <w:rsid w:val="00594796"/>
    <w:rsid w:val="005C6951"/>
    <w:rsid w:val="005F4648"/>
    <w:rsid w:val="00626D7F"/>
    <w:rsid w:val="0063561B"/>
    <w:rsid w:val="00646CBC"/>
    <w:rsid w:val="006543AE"/>
    <w:rsid w:val="00654564"/>
    <w:rsid w:val="00662E23"/>
    <w:rsid w:val="006A014B"/>
    <w:rsid w:val="00705A23"/>
    <w:rsid w:val="00706CF3"/>
    <w:rsid w:val="00744B24"/>
    <w:rsid w:val="007A1459"/>
    <w:rsid w:val="007C17BD"/>
    <w:rsid w:val="007D703F"/>
    <w:rsid w:val="00810DC5"/>
    <w:rsid w:val="00811C9C"/>
    <w:rsid w:val="00813828"/>
    <w:rsid w:val="008420FD"/>
    <w:rsid w:val="00866843"/>
    <w:rsid w:val="008B58DB"/>
    <w:rsid w:val="008C6D69"/>
    <w:rsid w:val="00904259"/>
    <w:rsid w:val="0090703C"/>
    <w:rsid w:val="009E3573"/>
    <w:rsid w:val="009E5AEA"/>
    <w:rsid w:val="00A75308"/>
    <w:rsid w:val="00A82A63"/>
    <w:rsid w:val="00AF44E9"/>
    <w:rsid w:val="00B46318"/>
    <w:rsid w:val="00B74A4B"/>
    <w:rsid w:val="00B81632"/>
    <w:rsid w:val="00BA7CA0"/>
    <w:rsid w:val="00BC294B"/>
    <w:rsid w:val="00BD043D"/>
    <w:rsid w:val="00BF3786"/>
    <w:rsid w:val="00C21132"/>
    <w:rsid w:val="00C36DE1"/>
    <w:rsid w:val="00C42182"/>
    <w:rsid w:val="00C71F7E"/>
    <w:rsid w:val="00C90356"/>
    <w:rsid w:val="00C935D0"/>
    <w:rsid w:val="00C9645E"/>
    <w:rsid w:val="00CA7BE5"/>
    <w:rsid w:val="00CB437E"/>
    <w:rsid w:val="00CD1C7C"/>
    <w:rsid w:val="00D12F78"/>
    <w:rsid w:val="00D17F5D"/>
    <w:rsid w:val="00D232B9"/>
    <w:rsid w:val="00D5330E"/>
    <w:rsid w:val="00DC4540"/>
    <w:rsid w:val="00E53DAF"/>
    <w:rsid w:val="00EA6BCC"/>
    <w:rsid w:val="00EB7594"/>
    <w:rsid w:val="00ED4713"/>
    <w:rsid w:val="00EE510E"/>
    <w:rsid w:val="00EF7B99"/>
    <w:rsid w:val="00F30DEE"/>
    <w:rsid w:val="00F6122D"/>
    <w:rsid w:val="00F664DA"/>
    <w:rsid w:val="00F81273"/>
    <w:rsid w:val="00FA6909"/>
    <w:rsid w:val="00FD3629"/>
    <w:rsid w:val="00FE4D09"/>
    <w:rsid w:val="00FF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6E9B2"/>
  <w15:chartTrackingRefBased/>
  <w15:docId w15:val="{15D4A086-979E-45D4-89EF-213FEDF3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763"/>
    <w:rPr>
      <w:rFonts w:eastAsiaTheme="majorEastAsia" w:cstheme="majorBidi"/>
      <w:color w:val="272727" w:themeColor="text1" w:themeTint="D8"/>
    </w:rPr>
  </w:style>
  <w:style w:type="paragraph" w:styleId="Title">
    <w:name w:val="Title"/>
    <w:basedOn w:val="Normal"/>
    <w:next w:val="Normal"/>
    <w:link w:val="TitleChar"/>
    <w:uiPriority w:val="10"/>
    <w:qFormat/>
    <w:rsid w:val="00274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763"/>
    <w:pPr>
      <w:spacing w:before="160"/>
      <w:jc w:val="center"/>
    </w:pPr>
    <w:rPr>
      <w:i/>
      <w:iCs/>
      <w:color w:val="404040" w:themeColor="text1" w:themeTint="BF"/>
    </w:rPr>
  </w:style>
  <w:style w:type="character" w:customStyle="1" w:styleId="QuoteChar">
    <w:name w:val="Quote Char"/>
    <w:basedOn w:val="DefaultParagraphFont"/>
    <w:link w:val="Quote"/>
    <w:uiPriority w:val="29"/>
    <w:rsid w:val="00274763"/>
    <w:rPr>
      <w:i/>
      <w:iCs/>
      <w:color w:val="404040" w:themeColor="text1" w:themeTint="BF"/>
    </w:rPr>
  </w:style>
  <w:style w:type="paragraph" w:styleId="ListParagraph">
    <w:name w:val="List Paragraph"/>
    <w:basedOn w:val="Normal"/>
    <w:uiPriority w:val="34"/>
    <w:qFormat/>
    <w:rsid w:val="00274763"/>
    <w:pPr>
      <w:ind w:left="720"/>
      <w:contextualSpacing/>
    </w:pPr>
  </w:style>
  <w:style w:type="character" w:styleId="IntenseEmphasis">
    <w:name w:val="Intense Emphasis"/>
    <w:basedOn w:val="DefaultParagraphFont"/>
    <w:uiPriority w:val="21"/>
    <w:qFormat/>
    <w:rsid w:val="00274763"/>
    <w:rPr>
      <w:i/>
      <w:iCs/>
      <w:color w:val="0F4761" w:themeColor="accent1" w:themeShade="BF"/>
    </w:rPr>
  </w:style>
  <w:style w:type="paragraph" w:styleId="IntenseQuote">
    <w:name w:val="Intense Quote"/>
    <w:basedOn w:val="Normal"/>
    <w:next w:val="Normal"/>
    <w:link w:val="IntenseQuoteChar"/>
    <w:uiPriority w:val="30"/>
    <w:qFormat/>
    <w:rsid w:val="00274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763"/>
    <w:rPr>
      <w:i/>
      <w:iCs/>
      <w:color w:val="0F4761" w:themeColor="accent1" w:themeShade="BF"/>
    </w:rPr>
  </w:style>
  <w:style w:type="character" w:styleId="IntenseReference">
    <w:name w:val="Intense Reference"/>
    <w:basedOn w:val="DefaultParagraphFont"/>
    <w:uiPriority w:val="32"/>
    <w:qFormat/>
    <w:rsid w:val="00274763"/>
    <w:rPr>
      <w:b/>
      <w:bCs/>
      <w:smallCaps/>
      <w:color w:val="0F4761" w:themeColor="accent1" w:themeShade="BF"/>
      <w:spacing w:val="5"/>
    </w:rPr>
  </w:style>
  <w:style w:type="paragraph" w:styleId="Header">
    <w:name w:val="header"/>
    <w:basedOn w:val="Normal"/>
    <w:link w:val="HeaderChar"/>
    <w:uiPriority w:val="99"/>
    <w:unhideWhenUsed/>
    <w:rsid w:val="00274763"/>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274763"/>
    <w:rPr>
      <w:kern w:val="0"/>
    </w:rPr>
  </w:style>
  <w:style w:type="paragraph" w:styleId="Footer">
    <w:name w:val="footer"/>
    <w:basedOn w:val="Normal"/>
    <w:link w:val="FooterChar"/>
    <w:uiPriority w:val="99"/>
    <w:unhideWhenUsed/>
    <w:rsid w:val="00274763"/>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274763"/>
    <w:rPr>
      <w:kern w:val="0"/>
    </w:rPr>
  </w:style>
  <w:style w:type="paragraph" w:styleId="EnvelopeReturn">
    <w:name w:val="envelope return"/>
    <w:basedOn w:val="Normal"/>
    <w:uiPriority w:val="99"/>
    <w:unhideWhenUsed/>
    <w:rsid w:val="00274763"/>
    <w:pPr>
      <w:spacing w:after="0" w:line="240" w:lineRule="auto"/>
    </w:pPr>
    <w:rPr>
      <w:rFonts w:ascii="Cambria" w:eastAsia="Times New Roman" w:hAnsi="Cambria" w:cs="Times New Roman"/>
      <w:kern w:val="0"/>
      <w:sz w:val="20"/>
      <w:szCs w:val="20"/>
    </w:rPr>
  </w:style>
  <w:style w:type="character" w:styleId="Hyperlink">
    <w:name w:val="Hyperlink"/>
    <w:basedOn w:val="DefaultParagraphFont"/>
    <w:uiPriority w:val="99"/>
    <w:unhideWhenUsed/>
    <w:rsid w:val="00335B63"/>
    <w:rPr>
      <w:color w:val="467886" w:themeColor="hyperlink"/>
      <w:u w:val="single"/>
    </w:rPr>
  </w:style>
  <w:style w:type="character" w:styleId="UnresolvedMention">
    <w:name w:val="Unresolved Mention"/>
    <w:basedOn w:val="DefaultParagraphFont"/>
    <w:uiPriority w:val="99"/>
    <w:semiHidden/>
    <w:unhideWhenUsed/>
    <w:rsid w:val="00335B63"/>
    <w:rPr>
      <w:color w:val="605E5C"/>
      <w:shd w:val="clear" w:color="auto" w:fill="E1DFDD"/>
    </w:rPr>
  </w:style>
  <w:style w:type="paragraph" w:styleId="Revision">
    <w:name w:val="Revision"/>
    <w:hidden/>
    <w:uiPriority w:val="99"/>
    <w:semiHidden/>
    <w:rsid w:val="0033156E"/>
    <w:pPr>
      <w:spacing w:after="0" w:line="240" w:lineRule="auto"/>
    </w:pPr>
  </w:style>
  <w:style w:type="character" w:styleId="CommentReference">
    <w:name w:val="annotation reference"/>
    <w:basedOn w:val="DefaultParagraphFont"/>
    <w:uiPriority w:val="99"/>
    <w:semiHidden/>
    <w:unhideWhenUsed/>
    <w:rsid w:val="0015250B"/>
    <w:rPr>
      <w:sz w:val="16"/>
      <w:szCs w:val="16"/>
    </w:rPr>
  </w:style>
  <w:style w:type="paragraph" w:styleId="CommentText">
    <w:name w:val="annotation text"/>
    <w:basedOn w:val="Normal"/>
    <w:link w:val="CommentTextChar"/>
    <w:uiPriority w:val="99"/>
    <w:semiHidden/>
    <w:unhideWhenUsed/>
    <w:rsid w:val="0015250B"/>
    <w:pPr>
      <w:spacing w:line="240" w:lineRule="auto"/>
    </w:pPr>
    <w:rPr>
      <w:sz w:val="20"/>
      <w:szCs w:val="20"/>
    </w:rPr>
  </w:style>
  <w:style w:type="character" w:customStyle="1" w:styleId="CommentTextChar">
    <w:name w:val="Comment Text Char"/>
    <w:basedOn w:val="DefaultParagraphFont"/>
    <w:link w:val="CommentText"/>
    <w:uiPriority w:val="99"/>
    <w:semiHidden/>
    <w:rsid w:val="0015250B"/>
    <w:rPr>
      <w:sz w:val="20"/>
      <w:szCs w:val="20"/>
    </w:rPr>
  </w:style>
  <w:style w:type="paragraph" w:styleId="CommentSubject">
    <w:name w:val="annotation subject"/>
    <w:basedOn w:val="CommentText"/>
    <w:next w:val="CommentText"/>
    <w:link w:val="CommentSubjectChar"/>
    <w:uiPriority w:val="99"/>
    <w:semiHidden/>
    <w:unhideWhenUsed/>
    <w:rsid w:val="0015250B"/>
    <w:rPr>
      <w:b/>
      <w:bCs/>
    </w:rPr>
  </w:style>
  <w:style w:type="character" w:customStyle="1" w:styleId="CommentSubjectChar">
    <w:name w:val="Comment Subject Char"/>
    <w:basedOn w:val="CommentTextChar"/>
    <w:link w:val="CommentSubject"/>
    <w:uiPriority w:val="99"/>
    <w:semiHidden/>
    <w:rsid w:val="001525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wnstate.edu/research/_documents/residual_balance_form_rev_3-06-2024.pdf" TargetMode="External"/><Relationship Id="rId3" Type="http://schemas.openxmlformats.org/officeDocument/2006/relationships/settings" Target="settings.xml"/><Relationship Id="rId7" Type="http://schemas.openxmlformats.org/officeDocument/2006/relationships/hyperlink" Target="https://www.downstate.edu/research/_documents/residual_balance_form_rev_3-06-202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670793-760f-4829-9315-3e427c362e69}" enabled="0" method="" siteId="{22670793-760f-4829-9315-3e427c362e6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3775</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SUNY Downstate Health Sciences University</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Sealy</dc:creator>
  <cp:keywords/>
  <dc:description/>
  <cp:lastModifiedBy>Sharon Sealy</cp:lastModifiedBy>
  <cp:revision>2</cp:revision>
  <dcterms:created xsi:type="dcterms:W3CDTF">2025-08-21T12:13:00Z</dcterms:created>
  <dcterms:modified xsi:type="dcterms:W3CDTF">2025-08-21T12:13:00Z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a099cc0b-a00a-48fe-9200-7b22f376a95a</vt:lpwstr>
  </property>
</Properties>
</file>