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F2C" w:rsidRDefault="008C6F2C" w:rsidP="00902D1C">
      <w:pPr>
        <w:tabs>
          <w:tab w:val="right" w:pos="10800"/>
        </w:tabs>
        <w:rPr>
          <w:rFonts w:ascii="Times New Roman" w:hAnsi="Times New Roman"/>
          <w:sz w:val="21"/>
          <w:szCs w:val="22"/>
        </w:rPr>
      </w:pPr>
      <w:r w:rsidRPr="00227641">
        <w:rPr>
          <w:rFonts w:ascii="Times New Roman" w:hAnsi="Times New Roman"/>
          <w:noProof/>
          <w:sz w:val="21"/>
          <w:szCs w:val="22"/>
        </w:rPr>
        <w:t>Yonatan</w:t>
      </w:r>
      <w:r>
        <w:rPr>
          <w:rFonts w:ascii="Times New Roman" w:hAnsi="Times New Roman"/>
          <w:sz w:val="21"/>
          <w:szCs w:val="22"/>
        </w:rPr>
        <w:t xml:space="preserve"> </w:t>
      </w:r>
      <w:r w:rsidRPr="00227641">
        <w:rPr>
          <w:rFonts w:ascii="Times New Roman" w:hAnsi="Times New Roman"/>
          <w:noProof/>
          <w:sz w:val="21"/>
          <w:szCs w:val="22"/>
        </w:rPr>
        <w:t>Akivis</w:t>
      </w:r>
      <w:r w:rsidRPr="00DC478F">
        <w:rPr>
          <w:rFonts w:ascii="Times New Roman" w:hAnsi="Times New Roman"/>
          <w:sz w:val="21"/>
          <w:szCs w:val="22"/>
        </w:rPr>
        <w:tab/>
        <w:t>Advisor(s):</w:t>
      </w:r>
      <w:r>
        <w:rPr>
          <w:rFonts w:ascii="Times New Roman" w:hAnsi="Times New Roman"/>
          <w:sz w:val="21"/>
          <w:szCs w:val="22"/>
        </w:rPr>
        <w:t xml:space="preserve"> </w:t>
      </w:r>
      <w:r w:rsidRPr="00227641">
        <w:rPr>
          <w:rFonts w:ascii="Times New Roman" w:hAnsi="Times New Roman"/>
          <w:noProof/>
          <w:sz w:val="21"/>
          <w:szCs w:val="22"/>
        </w:rPr>
        <w:t>Mariana</w:t>
      </w:r>
      <w:r>
        <w:rPr>
          <w:rFonts w:ascii="Times New Roman" w:hAnsi="Times New Roman"/>
          <w:sz w:val="21"/>
          <w:szCs w:val="22"/>
        </w:rPr>
        <w:t xml:space="preserve"> </w:t>
      </w:r>
      <w:r w:rsidRPr="00227641">
        <w:rPr>
          <w:rFonts w:ascii="Times New Roman" w:hAnsi="Times New Roman"/>
          <w:noProof/>
          <w:sz w:val="21"/>
          <w:szCs w:val="22"/>
        </w:rPr>
        <w:t>Markell</w:t>
      </w:r>
    </w:p>
    <w:p w:rsidR="008C6F2C" w:rsidRDefault="008C6F2C" w:rsidP="00902D1C">
      <w:pPr>
        <w:tabs>
          <w:tab w:val="right" w:pos="10800"/>
        </w:tabs>
        <w:rPr>
          <w:rFonts w:ascii="Times New Roman" w:hAnsi="Times New Roman"/>
          <w:sz w:val="21"/>
          <w:szCs w:val="22"/>
        </w:rPr>
      </w:pPr>
    </w:p>
    <w:p w:rsidR="008C6F2C" w:rsidRPr="00B37331" w:rsidRDefault="008C6F2C" w:rsidP="00B37331">
      <w:pPr>
        <w:tabs>
          <w:tab w:val="right" w:pos="10800"/>
        </w:tabs>
        <w:jc w:val="center"/>
        <w:rPr>
          <w:rFonts w:ascii="Times New Roman" w:hAnsi="Times New Roman"/>
          <w:b/>
          <w:sz w:val="21"/>
          <w:szCs w:val="22"/>
        </w:rPr>
      </w:pPr>
      <w:r w:rsidRPr="00227641">
        <w:rPr>
          <w:rFonts w:ascii="Times New Roman" w:hAnsi="Times New Roman"/>
          <w:b/>
          <w:noProof/>
          <w:sz w:val="21"/>
          <w:szCs w:val="22"/>
        </w:rPr>
        <w:t>Vaccination Rates And Relation To Health Beliefs In Inner-city Kidney Transplant Recipients</w:t>
      </w:r>
    </w:p>
    <w:p w:rsidR="008C6F2C" w:rsidRDefault="008C6F2C" w:rsidP="00902D1C">
      <w:pPr>
        <w:tabs>
          <w:tab w:val="right" w:pos="10800"/>
        </w:tabs>
        <w:rPr>
          <w:rFonts w:ascii="Times New Roman" w:hAnsi="Times New Roman"/>
          <w:sz w:val="21"/>
          <w:szCs w:val="22"/>
        </w:rPr>
      </w:pPr>
    </w:p>
    <w:p w:rsidR="008C6F2C" w:rsidRPr="00227641" w:rsidRDefault="008C6F2C" w:rsidP="00B37331">
      <w:pPr>
        <w:tabs>
          <w:tab w:val="right" w:pos="10800"/>
        </w:tabs>
        <w:rPr>
          <w:rFonts w:ascii="Times New Roman" w:hAnsi="Times New Roman"/>
          <w:noProof/>
          <w:sz w:val="21"/>
          <w:szCs w:val="22"/>
        </w:rPr>
      </w:pPr>
      <w:r w:rsidRPr="00227641">
        <w:rPr>
          <w:rFonts w:ascii="Times New Roman" w:hAnsi="Times New Roman"/>
          <w:noProof/>
          <w:sz w:val="21"/>
          <w:szCs w:val="22"/>
        </w:rPr>
        <w:t>Purpose: Prophylaxis against viral and bacterial infections as outlined by guidelines issued by the 2013 Infectious Diseases Society of America (IDSA) Clinical Practice Guideline for Vaccination of the Immunocompromised Host is especially important in transplant recipients. There is a paucity in the literature regarding vaccination rates, especially in indigent, immigrant populations where health beliefs may play a role in medical decisions.</w:t>
      </w:r>
    </w:p>
    <w:p w:rsidR="008C6F2C" w:rsidRPr="00055FEF" w:rsidRDefault="008C6F2C" w:rsidP="00B37331">
      <w:pPr>
        <w:tabs>
          <w:tab w:val="right" w:pos="10800"/>
        </w:tabs>
        <w:rPr>
          <w:rFonts w:ascii="Times New Roman" w:hAnsi="Times New Roman"/>
          <w:b/>
          <w:sz w:val="21"/>
          <w:szCs w:val="22"/>
        </w:rPr>
      </w:pPr>
      <w:r w:rsidRPr="00227641">
        <w:rPr>
          <w:rFonts w:ascii="Times New Roman" w:hAnsi="Times New Roman"/>
          <w:noProof/>
          <w:sz w:val="21"/>
          <w:szCs w:val="22"/>
        </w:rPr>
        <w:t>Results: 31 patients were interviewed. There were 19 (61%) men and 12 (39%) women. Racial breakdown was 26 black, 1 white, 2 Hispanic and 2 other. 13 (56% )had not attending any college courses. 3 pts (10%) were employed with the rest disabled or retired. Mean age was 56+/-2.4 (range 18-79). 17 (55%) pts were born in other countries (mean time in the US 32.6+/-2.7 yrs), mean time since transplant 6.7+/-1.4 yrs. Creatinine was 2.32+0.4 mg/dl. Immunization rates for recommended vaccines were low with 19.51% of patients having received the TDAP vaccine, 19.51% for PPSV23, 17.07% for PCV13, 48.8% for Influenza, 56.1% for Hepatitis B, 2.44% for Meningococcus and 0% for IPV, HIB, Hepatitis A, Zoster, Rotavirus-live and MMR. Patients who had received the TDAP were more likely to have also received PPSV23 (r=0.379,p=0.015), PCV13 (r=0.594,p=0.000) and Meningococcus (r=0.321,p=0.041). Of the 15 patients who did not receive the influenza vaccine, 9 (60%) had refused. All patients who refused believed that the vaccine â€œmade them sickâ€ in the past. Two patients believed it had never been offered to them, although it is clinic policy that all patients are offered the vaccine starting in late September. Older patients were less likely to have received the flu vaccine (r=-0.32, p&lt;0.05).There was no relation of any vaccine rate and education, employment status, time in the US or time since transplant.</w:t>
      </w:r>
    </w:p>
    <w:p w:rsidR="008C6F2C" w:rsidRDefault="008C6F2C" w:rsidP="00902D1C">
      <w:pPr>
        <w:tabs>
          <w:tab w:val="right" w:pos="10800"/>
        </w:tabs>
        <w:rPr>
          <w:rFonts w:ascii="Times New Roman" w:hAnsi="Times New Roman"/>
          <w:sz w:val="21"/>
          <w:szCs w:val="22"/>
        </w:rPr>
      </w:pPr>
    </w:p>
    <w:p w:rsidR="008C6F2C" w:rsidRPr="00DC478F" w:rsidRDefault="008C6F2C" w:rsidP="00902D1C">
      <w:pPr>
        <w:tabs>
          <w:tab w:val="right" w:pos="10800"/>
        </w:tabs>
        <w:rPr>
          <w:rFonts w:ascii="Times New Roman" w:hAnsi="Times New Roman"/>
          <w:sz w:val="21"/>
          <w:szCs w:val="22"/>
        </w:rPr>
      </w:pPr>
    </w:p>
    <w:p w:rsidR="008C6F2C" w:rsidRPr="002F6585" w:rsidRDefault="008C6F2C" w:rsidP="00E7279B">
      <w:pPr>
        <w:jc w:val="center"/>
        <w:rPr>
          <w:rFonts w:ascii="Times New Roman" w:hAnsi="Times New Roman"/>
          <w:b/>
          <w:sz w:val="21"/>
          <w:szCs w:val="22"/>
        </w:rPr>
      </w:pPr>
    </w:p>
    <w:p w:rsidR="008C6F2C" w:rsidRDefault="008C6F2C" w:rsidP="006672AE">
      <w:pPr>
        <w:rPr>
          <w:rFonts w:ascii="Times New Roman" w:hAnsi="Times New Roman"/>
          <w:sz w:val="21"/>
          <w:szCs w:val="22"/>
        </w:rPr>
      </w:pPr>
    </w:p>
    <w:p w:rsidR="008C6F2C" w:rsidRPr="00DC478F" w:rsidRDefault="008C6F2C" w:rsidP="006672AE">
      <w:pPr>
        <w:rPr>
          <w:rFonts w:ascii="Times New Roman" w:hAnsi="Times New Roman"/>
          <w:sz w:val="21"/>
          <w:szCs w:val="22"/>
        </w:rPr>
      </w:pPr>
    </w:p>
    <w:p w:rsidR="008C6F2C" w:rsidRDefault="008C6F2C" w:rsidP="0090102C">
      <w:pPr>
        <w:jc w:val="both"/>
        <w:rPr>
          <w:rFonts w:ascii="Times New Roman" w:hAnsi="Times New Roman"/>
          <w:sz w:val="21"/>
          <w:szCs w:val="22"/>
        </w:rPr>
        <w:sectPr w:rsidR="008C6F2C" w:rsidSect="008C6F2C">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7920" w:code="1"/>
          <w:pgMar w:top="720" w:right="720" w:bottom="720" w:left="720" w:header="720" w:footer="172" w:gutter="0"/>
          <w:pgNumType w:start="1"/>
          <w:cols w:space="720"/>
          <w:docGrid w:linePitch="360"/>
        </w:sectPr>
      </w:pPr>
    </w:p>
    <w:p w:rsidR="008C6F2C" w:rsidRDefault="008C6F2C" w:rsidP="00902D1C">
      <w:pPr>
        <w:tabs>
          <w:tab w:val="right" w:pos="10800"/>
        </w:tabs>
        <w:rPr>
          <w:rFonts w:ascii="Times New Roman" w:hAnsi="Times New Roman"/>
          <w:sz w:val="21"/>
          <w:szCs w:val="22"/>
        </w:rPr>
      </w:pPr>
      <w:r w:rsidRPr="00227641">
        <w:rPr>
          <w:rFonts w:ascii="Times New Roman" w:hAnsi="Times New Roman"/>
          <w:noProof/>
          <w:sz w:val="21"/>
          <w:szCs w:val="22"/>
        </w:rPr>
        <w:t>Michael</w:t>
      </w:r>
      <w:r>
        <w:rPr>
          <w:rFonts w:ascii="Times New Roman" w:hAnsi="Times New Roman"/>
          <w:sz w:val="21"/>
          <w:szCs w:val="22"/>
        </w:rPr>
        <w:t xml:space="preserve"> </w:t>
      </w:r>
      <w:r w:rsidRPr="00227641">
        <w:rPr>
          <w:rFonts w:ascii="Times New Roman" w:hAnsi="Times New Roman"/>
          <w:noProof/>
          <w:sz w:val="21"/>
          <w:szCs w:val="22"/>
        </w:rPr>
        <w:t>Danziger</w:t>
      </w:r>
      <w:r w:rsidRPr="00DC478F">
        <w:rPr>
          <w:rFonts w:ascii="Times New Roman" w:hAnsi="Times New Roman"/>
          <w:sz w:val="21"/>
          <w:szCs w:val="22"/>
        </w:rPr>
        <w:tab/>
        <w:t>Advisor(s):</w:t>
      </w:r>
      <w:r>
        <w:rPr>
          <w:rFonts w:ascii="Times New Roman" w:hAnsi="Times New Roman"/>
          <w:sz w:val="21"/>
          <w:szCs w:val="22"/>
        </w:rPr>
        <w:t xml:space="preserve"> </w:t>
      </w:r>
      <w:r w:rsidRPr="00227641">
        <w:rPr>
          <w:rFonts w:ascii="Times New Roman" w:hAnsi="Times New Roman"/>
          <w:noProof/>
          <w:sz w:val="21"/>
          <w:szCs w:val="22"/>
        </w:rPr>
        <w:t>Kathleen</w:t>
      </w:r>
      <w:r>
        <w:rPr>
          <w:rFonts w:ascii="Times New Roman" w:hAnsi="Times New Roman"/>
          <w:sz w:val="21"/>
          <w:szCs w:val="22"/>
        </w:rPr>
        <w:t xml:space="preserve"> </w:t>
      </w:r>
      <w:r w:rsidRPr="00227641">
        <w:rPr>
          <w:rFonts w:ascii="Times New Roman" w:hAnsi="Times New Roman"/>
          <w:noProof/>
          <w:sz w:val="21"/>
          <w:szCs w:val="22"/>
        </w:rPr>
        <w:t>Powderly</w:t>
      </w:r>
    </w:p>
    <w:p w:rsidR="008C6F2C" w:rsidRDefault="008C6F2C" w:rsidP="00902D1C">
      <w:pPr>
        <w:tabs>
          <w:tab w:val="right" w:pos="10800"/>
        </w:tabs>
        <w:rPr>
          <w:rFonts w:ascii="Times New Roman" w:hAnsi="Times New Roman"/>
          <w:sz w:val="21"/>
          <w:szCs w:val="22"/>
        </w:rPr>
      </w:pPr>
    </w:p>
    <w:p w:rsidR="008C6F2C" w:rsidRPr="00B37331" w:rsidRDefault="008C6F2C" w:rsidP="00B37331">
      <w:pPr>
        <w:tabs>
          <w:tab w:val="right" w:pos="10800"/>
        </w:tabs>
        <w:jc w:val="center"/>
        <w:rPr>
          <w:rFonts w:ascii="Times New Roman" w:hAnsi="Times New Roman"/>
          <w:b/>
          <w:sz w:val="21"/>
          <w:szCs w:val="22"/>
        </w:rPr>
      </w:pPr>
      <w:r w:rsidRPr="00227641">
        <w:rPr>
          <w:rFonts w:ascii="Times New Roman" w:hAnsi="Times New Roman"/>
          <w:b/>
          <w:noProof/>
          <w:sz w:val="21"/>
          <w:szCs w:val="22"/>
        </w:rPr>
        <w:t>Geographical Stratification and Black Maternal Morbidity &amp; Mortality</w:t>
      </w:r>
    </w:p>
    <w:p w:rsidR="008C6F2C" w:rsidRDefault="008C6F2C" w:rsidP="00902D1C">
      <w:pPr>
        <w:tabs>
          <w:tab w:val="right" w:pos="10800"/>
        </w:tabs>
        <w:rPr>
          <w:rFonts w:ascii="Times New Roman" w:hAnsi="Times New Roman"/>
          <w:sz w:val="21"/>
          <w:szCs w:val="22"/>
        </w:rPr>
      </w:pPr>
    </w:p>
    <w:p w:rsidR="008C6F2C" w:rsidRPr="00055FEF" w:rsidRDefault="008C6F2C" w:rsidP="00B37331">
      <w:pPr>
        <w:tabs>
          <w:tab w:val="right" w:pos="10800"/>
        </w:tabs>
        <w:rPr>
          <w:rFonts w:ascii="Times New Roman" w:hAnsi="Times New Roman"/>
          <w:b/>
          <w:sz w:val="21"/>
          <w:szCs w:val="22"/>
        </w:rPr>
      </w:pPr>
      <w:r w:rsidRPr="00227641">
        <w:rPr>
          <w:rFonts w:ascii="Times New Roman" w:hAnsi="Times New Roman"/>
          <w:noProof/>
          <w:sz w:val="21"/>
          <w:szCs w:val="22"/>
        </w:rPr>
        <w:t>Maternal mortality is an issue that has received renewed political interest, in large part due to extensive investigative coverage in the popular press. In New York City, black women are more likely to suffer severe maternal morbidity and mortality, regardless of education level, socioeconomic status, or BMI. While the overall maternal mortality rate in NYC has decreased since 2007, the gap between white and black maternal mortality has widened. Recent studies have shown these disparities cannot be accounted for solely by high-risk features of specific populations. The cause of this disparity is complex but is best understood as the legacy of discriminatory policies, such as redlining, that sought to compartmentalize populations into neighborhoods and subsequently deny those neighborhoods adequate support. As a result, such areas have underfunded schools, poor access to food, and less access to healthcare. Such policies create a web of social and environmental issues that cannot be solved singularly and ensure cyclic immiseration. Traditional analyses of maternal morbidity and mortality examine hospital or maternal factors to determine how to improve and account for them. This approach, while invaluable for understanding what occurs in medias res, does not address the deeper causes of these issues. A human geographical approach augments the traditional analyses by unifying the causative factors and examining the contribution of a complex variable (i.e. geographical location). Indeed, when comparing choropleth maps, the geographical relationship to race and maternal morbidity and mortality in New York is apparent. Analyzing maternal morbidity and mortality as a function of geography underscores the fact that these (and other) issues cannot be addressed in isolation. As such, any policy seeking to ameliorate maternal morbidity and mortality must account for the relationship to geography and resources.</w:t>
      </w:r>
    </w:p>
    <w:p w:rsidR="008C6F2C" w:rsidRDefault="008C6F2C" w:rsidP="00902D1C">
      <w:pPr>
        <w:tabs>
          <w:tab w:val="right" w:pos="10800"/>
        </w:tabs>
        <w:rPr>
          <w:rFonts w:ascii="Times New Roman" w:hAnsi="Times New Roman"/>
          <w:sz w:val="21"/>
          <w:szCs w:val="22"/>
        </w:rPr>
      </w:pPr>
    </w:p>
    <w:p w:rsidR="008C6F2C" w:rsidRPr="00DC478F" w:rsidRDefault="008C6F2C" w:rsidP="00902D1C">
      <w:pPr>
        <w:tabs>
          <w:tab w:val="right" w:pos="10800"/>
        </w:tabs>
        <w:rPr>
          <w:rFonts w:ascii="Times New Roman" w:hAnsi="Times New Roman"/>
          <w:sz w:val="21"/>
          <w:szCs w:val="22"/>
        </w:rPr>
      </w:pPr>
    </w:p>
    <w:p w:rsidR="008C6F2C" w:rsidRPr="00DC478F" w:rsidRDefault="008C6F2C" w:rsidP="00DC478F">
      <w:pPr>
        <w:tabs>
          <w:tab w:val="right" w:pos="10800"/>
        </w:tabs>
        <w:rPr>
          <w:rFonts w:ascii="Times New Roman" w:hAnsi="Times New Roman"/>
          <w:sz w:val="21"/>
          <w:szCs w:val="22"/>
        </w:rPr>
      </w:pPr>
      <w:r w:rsidRPr="00DC478F">
        <w:rPr>
          <w:rFonts w:ascii="Times New Roman" w:hAnsi="Times New Roman"/>
          <w:sz w:val="21"/>
          <w:szCs w:val="22"/>
        </w:rPr>
        <w:tab/>
      </w:r>
    </w:p>
    <w:p w:rsidR="008C6F2C" w:rsidRPr="002F6585" w:rsidRDefault="008C6F2C" w:rsidP="00E7279B">
      <w:pPr>
        <w:jc w:val="center"/>
        <w:rPr>
          <w:rFonts w:ascii="Times New Roman" w:hAnsi="Times New Roman"/>
          <w:b/>
          <w:sz w:val="21"/>
          <w:szCs w:val="22"/>
        </w:rPr>
      </w:pPr>
    </w:p>
    <w:p w:rsidR="008C6F2C" w:rsidRDefault="008C6F2C" w:rsidP="006672AE">
      <w:pPr>
        <w:rPr>
          <w:rFonts w:ascii="Times New Roman" w:hAnsi="Times New Roman"/>
          <w:sz w:val="21"/>
          <w:szCs w:val="22"/>
        </w:rPr>
      </w:pPr>
    </w:p>
    <w:p w:rsidR="008C6F2C" w:rsidRPr="00DC478F" w:rsidRDefault="008C6F2C" w:rsidP="006672AE">
      <w:pPr>
        <w:rPr>
          <w:rFonts w:ascii="Times New Roman" w:hAnsi="Times New Roman"/>
          <w:sz w:val="21"/>
          <w:szCs w:val="22"/>
        </w:rPr>
      </w:pPr>
    </w:p>
    <w:p w:rsidR="008C6F2C" w:rsidRDefault="008C6F2C" w:rsidP="00902D1C">
      <w:pPr>
        <w:tabs>
          <w:tab w:val="right" w:pos="10800"/>
        </w:tabs>
        <w:rPr>
          <w:rFonts w:ascii="Times New Roman" w:hAnsi="Times New Roman"/>
          <w:sz w:val="21"/>
          <w:szCs w:val="22"/>
        </w:rPr>
      </w:pPr>
      <w:r w:rsidRPr="00227641">
        <w:rPr>
          <w:rFonts w:ascii="Times New Roman" w:hAnsi="Times New Roman"/>
          <w:noProof/>
          <w:sz w:val="21"/>
          <w:szCs w:val="22"/>
        </w:rPr>
        <w:t>Sofya</w:t>
      </w:r>
      <w:r>
        <w:rPr>
          <w:rFonts w:ascii="Times New Roman" w:hAnsi="Times New Roman"/>
          <w:sz w:val="21"/>
          <w:szCs w:val="22"/>
        </w:rPr>
        <w:t xml:space="preserve"> </w:t>
      </w:r>
      <w:r w:rsidRPr="00227641">
        <w:rPr>
          <w:rFonts w:ascii="Times New Roman" w:hAnsi="Times New Roman"/>
          <w:noProof/>
          <w:sz w:val="21"/>
          <w:szCs w:val="22"/>
        </w:rPr>
        <w:t>Gindina</w:t>
      </w:r>
      <w:r w:rsidRPr="00DC478F">
        <w:rPr>
          <w:rFonts w:ascii="Times New Roman" w:hAnsi="Times New Roman"/>
          <w:sz w:val="21"/>
          <w:szCs w:val="22"/>
        </w:rPr>
        <w:tab/>
        <w:t>Advisor(s):</w:t>
      </w:r>
      <w:r>
        <w:rPr>
          <w:rFonts w:ascii="Times New Roman" w:hAnsi="Times New Roman"/>
          <w:sz w:val="21"/>
          <w:szCs w:val="22"/>
        </w:rPr>
        <w:t xml:space="preserve"> </w:t>
      </w:r>
      <w:r w:rsidRPr="00227641">
        <w:rPr>
          <w:rFonts w:ascii="Times New Roman" w:hAnsi="Times New Roman"/>
          <w:noProof/>
          <w:sz w:val="21"/>
          <w:szCs w:val="22"/>
        </w:rPr>
        <w:t>John</w:t>
      </w:r>
      <w:r>
        <w:rPr>
          <w:rFonts w:ascii="Times New Roman" w:hAnsi="Times New Roman"/>
          <w:sz w:val="21"/>
          <w:szCs w:val="22"/>
        </w:rPr>
        <w:t xml:space="preserve"> </w:t>
      </w:r>
      <w:r w:rsidRPr="00227641">
        <w:rPr>
          <w:rFonts w:ascii="Times New Roman" w:hAnsi="Times New Roman"/>
          <w:noProof/>
          <w:sz w:val="21"/>
          <w:szCs w:val="22"/>
        </w:rPr>
        <w:t>Danias</w:t>
      </w:r>
    </w:p>
    <w:p w:rsidR="008C6F2C" w:rsidRDefault="008C6F2C" w:rsidP="00902D1C">
      <w:pPr>
        <w:tabs>
          <w:tab w:val="right" w:pos="10800"/>
        </w:tabs>
        <w:rPr>
          <w:rFonts w:ascii="Times New Roman" w:hAnsi="Times New Roman"/>
          <w:sz w:val="21"/>
          <w:szCs w:val="22"/>
        </w:rPr>
      </w:pPr>
    </w:p>
    <w:p w:rsidR="008C6F2C" w:rsidRPr="00B37331" w:rsidRDefault="008C6F2C" w:rsidP="00B37331">
      <w:pPr>
        <w:tabs>
          <w:tab w:val="right" w:pos="10800"/>
        </w:tabs>
        <w:jc w:val="center"/>
        <w:rPr>
          <w:rFonts w:ascii="Times New Roman" w:hAnsi="Times New Roman"/>
          <w:b/>
          <w:sz w:val="21"/>
          <w:szCs w:val="22"/>
        </w:rPr>
      </w:pPr>
      <w:r w:rsidRPr="00227641">
        <w:rPr>
          <w:rFonts w:ascii="Times New Roman" w:hAnsi="Times New Roman"/>
          <w:b/>
          <w:noProof/>
          <w:sz w:val="21"/>
          <w:szCs w:val="22"/>
        </w:rPr>
        <w:t>Tissue Plasminogen Activator: Mechanistic Studies in Steroid Induced Glaucoma</w:t>
      </w:r>
    </w:p>
    <w:p w:rsidR="008C6F2C" w:rsidRDefault="008C6F2C" w:rsidP="00902D1C">
      <w:pPr>
        <w:tabs>
          <w:tab w:val="right" w:pos="10800"/>
        </w:tabs>
        <w:rPr>
          <w:rFonts w:ascii="Times New Roman" w:hAnsi="Times New Roman"/>
          <w:sz w:val="21"/>
          <w:szCs w:val="22"/>
        </w:rPr>
      </w:pPr>
    </w:p>
    <w:p w:rsidR="008C6F2C" w:rsidRPr="00055FEF" w:rsidRDefault="008C6F2C" w:rsidP="00B37331">
      <w:pPr>
        <w:tabs>
          <w:tab w:val="right" w:pos="10800"/>
        </w:tabs>
        <w:rPr>
          <w:rFonts w:ascii="Times New Roman" w:hAnsi="Times New Roman"/>
          <w:b/>
          <w:sz w:val="21"/>
          <w:szCs w:val="22"/>
        </w:rPr>
      </w:pPr>
      <w:r w:rsidRPr="00227641">
        <w:rPr>
          <w:rFonts w:ascii="Times New Roman" w:hAnsi="Times New Roman"/>
          <w:noProof/>
          <w:sz w:val="21"/>
          <w:szCs w:val="22"/>
        </w:rPr>
        <w:t>Glaucoma is a group of eye diseases leading to progressive irreversible vision loss via optic nerve damage; the most common form is open-angle glaucoma (OAG). As the second leading cause of blindness worldwide, glaucoma poses a heavy societal burden with 80 million cases projected by 2020. Intraocular pressure (IOP) elevation is a specific risk factor in glaucoma and occurs due to aqueous humor drainage resistance at the trabecular meshwork (TM). The use of an inducible/iatrogenic form of OAG, steroid-induced glaucoma (SIG), provides a controlled model for experimental study. A third of the population can develop IOP elevation and glaucoma following steroid exposure. The mechanism of SIG is also unknown. In previous studies, steroids caused a reduction in tissue plasminogen activator (tPA) at the TM, and administration of tPA prevented steroid-induced IOP elevation in sheep and prevented steroid-induced outflow facility reduction in mice. Our research seeks to determine the mechanism by which tPA regulates aqueous humor outflow and investigate its therapeutic potential. tPA is a serine protease, involved in the fibrinolytic cascade, that is commercially available and used in post-stroke therapy. tPA is comprised of catalytic and non-catalytic regions, allowing it to function as both an enzyme and cytokine. Using a mutant protein form lacking enzymatic activity (NE-tPA) allows us to isolate its cytokine actions and avoid its fibrinolytic actions. The intraocular administration of NE-tPA significantly improved outflow facility in mouse models of SIG. Furthermore, NE-tPA rescued outflow facility reduction in genetically altered mice lacking tPA expression (PlatKO). Experiments are being conducted to determine effects in human tissues and identify the receptor. Therefore, NE-tPA can serve as a potential therapeutic to enhance aqueous humor outflow and prevent IOP elevation following steroid exposure. Its applicability to other forms of OAG remains to be explored.</w:t>
      </w:r>
    </w:p>
    <w:p w:rsidR="008C6F2C" w:rsidRDefault="008C6F2C" w:rsidP="00902D1C">
      <w:pPr>
        <w:tabs>
          <w:tab w:val="right" w:pos="10800"/>
        </w:tabs>
        <w:rPr>
          <w:rFonts w:ascii="Times New Roman" w:hAnsi="Times New Roman"/>
          <w:sz w:val="21"/>
          <w:szCs w:val="22"/>
        </w:rPr>
      </w:pPr>
    </w:p>
    <w:p w:rsidR="008C6F2C" w:rsidRPr="00DC478F" w:rsidRDefault="008C6F2C" w:rsidP="00902D1C">
      <w:pPr>
        <w:tabs>
          <w:tab w:val="right" w:pos="10800"/>
        </w:tabs>
        <w:rPr>
          <w:rFonts w:ascii="Times New Roman" w:hAnsi="Times New Roman"/>
          <w:sz w:val="21"/>
          <w:szCs w:val="22"/>
        </w:rPr>
      </w:pPr>
    </w:p>
    <w:p w:rsidR="008C6F2C" w:rsidRDefault="008C6F2C" w:rsidP="008C6F2C">
      <w:pPr>
        <w:tabs>
          <w:tab w:val="right" w:pos="10800"/>
        </w:tabs>
        <w:rPr>
          <w:rFonts w:ascii="Times New Roman" w:hAnsi="Times New Roman"/>
          <w:sz w:val="21"/>
          <w:szCs w:val="22"/>
        </w:rPr>
      </w:pPr>
      <w:r w:rsidRPr="00DC478F">
        <w:rPr>
          <w:rFonts w:ascii="Times New Roman" w:hAnsi="Times New Roman"/>
          <w:sz w:val="21"/>
          <w:szCs w:val="22"/>
        </w:rPr>
        <w:tab/>
      </w:r>
    </w:p>
    <w:p w:rsidR="008C6F2C" w:rsidRDefault="008C6F2C" w:rsidP="00902D1C">
      <w:pPr>
        <w:tabs>
          <w:tab w:val="right" w:pos="10800"/>
        </w:tabs>
        <w:rPr>
          <w:rFonts w:ascii="Times New Roman" w:hAnsi="Times New Roman"/>
          <w:sz w:val="21"/>
          <w:szCs w:val="22"/>
        </w:rPr>
      </w:pPr>
      <w:bookmarkStart w:id="0" w:name="_GoBack"/>
      <w:bookmarkEnd w:id="0"/>
      <w:r w:rsidRPr="00227641">
        <w:rPr>
          <w:rFonts w:ascii="Times New Roman" w:hAnsi="Times New Roman"/>
          <w:noProof/>
          <w:sz w:val="21"/>
          <w:szCs w:val="22"/>
        </w:rPr>
        <w:t>Bo</w:t>
      </w:r>
      <w:r>
        <w:rPr>
          <w:rFonts w:ascii="Times New Roman" w:hAnsi="Times New Roman"/>
          <w:sz w:val="21"/>
          <w:szCs w:val="22"/>
        </w:rPr>
        <w:t xml:space="preserve"> </w:t>
      </w:r>
      <w:r w:rsidRPr="00227641">
        <w:rPr>
          <w:rFonts w:ascii="Times New Roman" w:hAnsi="Times New Roman"/>
          <w:noProof/>
          <w:sz w:val="21"/>
          <w:szCs w:val="22"/>
        </w:rPr>
        <w:t>Lin</w:t>
      </w:r>
      <w:r w:rsidRPr="00DC478F">
        <w:rPr>
          <w:rFonts w:ascii="Times New Roman" w:hAnsi="Times New Roman"/>
          <w:sz w:val="21"/>
          <w:szCs w:val="22"/>
        </w:rPr>
        <w:tab/>
        <w:t>Advisor(s):</w:t>
      </w:r>
      <w:r>
        <w:rPr>
          <w:rFonts w:ascii="Times New Roman" w:hAnsi="Times New Roman"/>
          <w:sz w:val="21"/>
          <w:szCs w:val="22"/>
        </w:rPr>
        <w:t xml:space="preserve"> </w:t>
      </w:r>
      <w:r w:rsidRPr="00227641">
        <w:rPr>
          <w:rFonts w:ascii="Times New Roman" w:hAnsi="Times New Roman"/>
          <w:noProof/>
          <w:sz w:val="21"/>
          <w:szCs w:val="22"/>
        </w:rPr>
        <w:t>Matthew</w:t>
      </w:r>
      <w:r>
        <w:rPr>
          <w:rFonts w:ascii="Times New Roman" w:hAnsi="Times New Roman"/>
          <w:sz w:val="21"/>
          <w:szCs w:val="22"/>
        </w:rPr>
        <w:t xml:space="preserve"> </w:t>
      </w:r>
      <w:r w:rsidRPr="00227641">
        <w:rPr>
          <w:rFonts w:ascii="Times New Roman" w:hAnsi="Times New Roman"/>
          <w:noProof/>
          <w:sz w:val="21"/>
          <w:szCs w:val="22"/>
        </w:rPr>
        <w:t>Pincus</w:t>
      </w:r>
    </w:p>
    <w:p w:rsidR="008C6F2C" w:rsidRDefault="008C6F2C" w:rsidP="00902D1C">
      <w:pPr>
        <w:tabs>
          <w:tab w:val="right" w:pos="10800"/>
        </w:tabs>
        <w:rPr>
          <w:rFonts w:ascii="Times New Roman" w:hAnsi="Times New Roman"/>
          <w:sz w:val="21"/>
          <w:szCs w:val="22"/>
        </w:rPr>
      </w:pPr>
    </w:p>
    <w:p w:rsidR="008C6F2C" w:rsidRPr="00B37331" w:rsidRDefault="008C6F2C" w:rsidP="00B37331">
      <w:pPr>
        <w:tabs>
          <w:tab w:val="right" w:pos="10800"/>
        </w:tabs>
        <w:jc w:val="center"/>
        <w:rPr>
          <w:rFonts w:ascii="Times New Roman" w:hAnsi="Times New Roman"/>
          <w:b/>
          <w:sz w:val="21"/>
          <w:szCs w:val="22"/>
        </w:rPr>
      </w:pPr>
      <w:r w:rsidRPr="00227641">
        <w:rPr>
          <w:rFonts w:ascii="Times New Roman" w:hAnsi="Times New Roman"/>
          <w:b/>
          <w:noProof/>
          <w:sz w:val="21"/>
          <w:szCs w:val="22"/>
        </w:rPr>
        <w:t>Acetoacetateâ€¯Enhances theâ€¯Cytotoxicityâ€¯of Anti-tumor Agents onâ€¯Cancer Cells Without Itself Inducing Cell Death</w:t>
      </w:r>
    </w:p>
    <w:p w:rsidR="008C6F2C" w:rsidRDefault="008C6F2C" w:rsidP="00902D1C">
      <w:pPr>
        <w:tabs>
          <w:tab w:val="right" w:pos="10800"/>
        </w:tabs>
        <w:rPr>
          <w:rFonts w:ascii="Times New Roman" w:hAnsi="Times New Roman"/>
          <w:sz w:val="21"/>
          <w:szCs w:val="22"/>
        </w:rPr>
      </w:pPr>
    </w:p>
    <w:p w:rsidR="008C6F2C" w:rsidRPr="00227641" w:rsidRDefault="008C6F2C" w:rsidP="00B37331">
      <w:pPr>
        <w:tabs>
          <w:tab w:val="right" w:pos="10800"/>
        </w:tabs>
        <w:rPr>
          <w:rFonts w:ascii="Times New Roman" w:hAnsi="Times New Roman"/>
          <w:noProof/>
          <w:sz w:val="21"/>
          <w:szCs w:val="22"/>
        </w:rPr>
      </w:pPr>
      <w:r w:rsidRPr="00227641">
        <w:rPr>
          <w:rFonts w:ascii="Times New Roman" w:hAnsi="Times New Roman"/>
          <w:noProof/>
          <w:sz w:val="21"/>
          <w:szCs w:val="22"/>
        </w:rPr>
        <w:t xml:space="preserve">Introduction: Chemotherapeutic drugs are known to cause toxicity to normal cells giving rise to serious side effects. There has therefore been a quest for finding agents that would lower effective doses of these drugs to minimize undesirable side effects. We have now obtained evidence that the ketogenic agent, acetoacetate (AcAc), lowers the doses of three chemotherapeutic drugs, i.e., rapamycin, methotrexate and the anticancer peptide, PNC-27, needed to kill cancer cells. </w:t>
      </w:r>
    </w:p>
    <w:p w:rsidR="008C6F2C" w:rsidRPr="00227641" w:rsidRDefault="008C6F2C" w:rsidP="00B37331">
      <w:pPr>
        <w:tabs>
          <w:tab w:val="right" w:pos="10800"/>
        </w:tabs>
        <w:rPr>
          <w:rFonts w:ascii="Times New Roman" w:hAnsi="Times New Roman"/>
          <w:noProof/>
          <w:sz w:val="21"/>
          <w:szCs w:val="22"/>
        </w:rPr>
      </w:pPr>
      <w:r w:rsidRPr="00227641">
        <w:rPr>
          <w:rFonts w:ascii="Times New Roman" w:hAnsi="Times New Roman"/>
          <w:noProof/>
          <w:sz w:val="21"/>
          <w:szCs w:val="22"/>
        </w:rPr>
        <w:t xml:space="preserve">Methods: MCF-7 human breast cancer cells were incubated in 10â€¯mM glucose medium with different doses of each anti-cancer agent (range 0-20 nM for rapamycin and methotrexate, 0-400 ug/mL for PNC-27) andâ€¯different concentrations of AcAc (range 0-40mM) for 48 (PNC-27) or 72 hours (rapamycin and methotrexate). SW480 colon cancer cells were incubated under the same conditions with rapamycin and methotrexate.  </w:t>
      </w:r>
    </w:p>
    <w:p w:rsidR="008C6F2C" w:rsidRPr="00227641" w:rsidRDefault="008C6F2C" w:rsidP="00B37331">
      <w:pPr>
        <w:tabs>
          <w:tab w:val="right" w:pos="10800"/>
        </w:tabs>
        <w:rPr>
          <w:rFonts w:ascii="Times New Roman" w:hAnsi="Times New Roman"/>
          <w:noProof/>
          <w:sz w:val="21"/>
          <w:szCs w:val="22"/>
        </w:rPr>
      </w:pPr>
      <w:r w:rsidRPr="00227641">
        <w:rPr>
          <w:rFonts w:ascii="Times New Roman" w:hAnsi="Times New Roman"/>
          <w:noProof/>
          <w:sz w:val="21"/>
          <w:szCs w:val="22"/>
        </w:rPr>
        <w:t xml:space="preserve">Results: AcAc induced a dose-dependent inhibition of cancer cell growth of both MCF-7 and SW480 cells such that growth was totally inhibited at concentration of 20 mM with no evidence of cell death. Furthermore, AcAc induced a dramatic decrease in cancer cell viability for both rapamycin and methotrexate of both cell lines and a major increase in cell killing when MCF-7 cells are treated with PNC-27. For example, for MCF-7  cells, 15 mM AcAc caused a twofold increase of cell killing with 10 nM rapamycin, a three-fold increase of cell killing with 10 nM methotrexate and an almost three-fold increase in cell killing with 200 ug/mL PNC-27. </w:t>
      </w:r>
    </w:p>
    <w:p w:rsidR="008C6F2C" w:rsidRPr="00227641" w:rsidRDefault="008C6F2C" w:rsidP="00B37331">
      <w:pPr>
        <w:tabs>
          <w:tab w:val="right" w:pos="10800"/>
        </w:tabs>
        <w:rPr>
          <w:rFonts w:ascii="Times New Roman" w:hAnsi="Times New Roman"/>
          <w:noProof/>
          <w:sz w:val="21"/>
          <w:szCs w:val="22"/>
        </w:rPr>
      </w:pPr>
      <w:r w:rsidRPr="00227641">
        <w:rPr>
          <w:rFonts w:ascii="Times New Roman" w:hAnsi="Times New Roman"/>
          <w:noProof/>
          <w:sz w:val="21"/>
          <w:szCs w:val="22"/>
        </w:rPr>
        <w:t xml:space="preserve">Conclusions: AcAc significantly reduces the therapeutic concentration of all three chemotherapeutic agents. These findings suggest that ketogenic diets and/or AcAc infusions can reduce the doses of chemotherapeutic agents without sacrificing their efficacies while at the same time preventing undesired side effects.  </w:t>
      </w:r>
    </w:p>
    <w:p w:rsidR="008C6F2C" w:rsidRPr="00055FEF" w:rsidRDefault="008C6F2C" w:rsidP="00B37331">
      <w:pPr>
        <w:tabs>
          <w:tab w:val="right" w:pos="10800"/>
        </w:tabs>
        <w:rPr>
          <w:rFonts w:ascii="Times New Roman" w:hAnsi="Times New Roman"/>
          <w:b/>
          <w:sz w:val="21"/>
          <w:szCs w:val="22"/>
        </w:rPr>
      </w:pPr>
    </w:p>
    <w:p w:rsidR="008C6F2C" w:rsidRDefault="008C6F2C" w:rsidP="00902D1C">
      <w:pPr>
        <w:tabs>
          <w:tab w:val="right" w:pos="10800"/>
        </w:tabs>
        <w:rPr>
          <w:rFonts w:ascii="Times New Roman" w:hAnsi="Times New Roman"/>
          <w:sz w:val="21"/>
          <w:szCs w:val="22"/>
        </w:rPr>
      </w:pPr>
    </w:p>
    <w:p w:rsidR="008C6F2C" w:rsidRDefault="008C6F2C" w:rsidP="0090102C">
      <w:pPr>
        <w:jc w:val="both"/>
        <w:rPr>
          <w:rFonts w:ascii="Times New Roman" w:hAnsi="Times New Roman"/>
          <w:sz w:val="21"/>
          <w:szCs w:val="22"/>
        </w:rPr>
        <w:sectPr w:rsidR="008C6F2C" w:rsidSect="008C6F2C">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7920" w:code="1"/>
          <w:pgMar w:top="720" w:right="720" w:bottom="720" w:left="720" w:header="720" w:footer="172" w:gutter="0"/>
          <w:pgNumType w:start="1"/>
          <w:cols w:space="720"/>
          <w:docGrid w:linePitch="360"/>
        </w:sectPr>
      </w:pPr>
    </w:p>
    <w:p w:rsidR="008C6F2C" w:rsidRDefault="008C6F2C" w:rsidP="00902D1C">
      <w:pPr>
        <w:tabs>
          <w:tab w:val="right" w:pos="10800"/>
        </w:tabs>
        <w:rPr>
          <w:rFonts w:ascii="Times New Roman" w:hAnsi="Times New Roman"/>
          <w:sz w:val="21"/>
          <w:szCs w:val="22"/>
        </w:rPr>
      </w:pPr>
      <w:r w:rsidRPr="00227641">
        <w:rPr>
          <w:rFonts w:ascii="Times New Roman" w:hAnsi="Times New Roman"/>
          <w:noProof/>
          <w:sz w:val="21"/>
          <w:szCs w:val="22"/>
        </w:rPr>
        <w:t>Carmelo</w:t>
      </w:r>
      <w:r>
        <w:rPr>
          <w:rFonts w:ascii="Times New Roman" w:hAnsi="Times New Roman"/>
          <w:sz w:val="21"/>
          <w:szCs w:val="22"/>
        </w:rPr>
        <w:t xml:space="preserve"> </w:t>
      </w:r>
      <w:r w:rsidRPr="00227641">
        <w:rPr>
          <w:rFonts w:ascii="Times New Roman" w:hAnsi="Times New Roman"/>
          <w:noProof/>
          <w:sz w:val="21"/>
          <w:szCs w:val="22"/>
        </w:rPr>
        <w:t>LoMonaco</w:t>
      </w:r>
      <w:r w:rsidRPr="00DC478F">
        <w:rPr>
          <w:rFonts w:ascii="Times New Roman" w:hAnsi="Times New Roman"/>
          <w:sz w:val="21"/>
          <w:szCs w:val="22"/>
        </w:rPr>
        <w:tab/>
        <w:t>Advisor(s):</w:t>
      </w:r>
      <w:r>
        <w:rPr>
          <w:rFonts w:ascii="Times New Roman" w:hAnsi="Times New Roman"/>
          <w:sz w:val="21"/>
          <w:szCs w:val="22"/>
        </w:rPr>
        <w:t xml:space="preserve"> </w:t>
      </w:r>
      <w:r w:rsidRPr="00227641">
        <w:rPr>
          <w:rFonts w:ascii="Times New Roman" w:hAnsi="Times New Roman"/>
          <w:noProof/>
          <w:sz w:val="21"/>
          <w:szCs w:val="22"/>
        </w:rPr>
        <w:t>Mohammad</w:t>
      </w:r>
      <w:r>
        <w:rPr>
          <w:rFonts w:ascii="Times New Roman" w:hAnsi="Times New Roman"/>
          <w:sz w:val="21"/>
          <w:szCs w:val="22"/>
        </w:rPr>
        <w:t xml:space="preserve"> </w:t>
      </w:r>
      <w:r w:rsidRPr="00227641">
        <w:rPr>
          <w:rFonts w:ascii="Times New Roman" w:hAnsi="Times New Roman"/>
          <w:noProof/>
          <w:sz w:val="21"/>
          <w:szCs w:val="22"/>
        </w:rPr>
        <w:t>Faysel</w:t>
      </w:r>
    </w:p>
    <w:p w:rsidR="008C6F2C" w:rsidRDefault="008C6F2C" w:rsidP="00902D1C">
      <w:pPr>
        <w:tabs>
          <w:tab w:val="right" w:pos="10800"/>
        </w:tabs>
        <w:rPr>
          <w:rFonts w:ascii="Times New Roman" w:hAnsi="Times New Roman"/>
          <w:sz w:val="21"/>
          <w:szCs w:val="22"/>
        </w:rPr>
      </w:pPr>
    </w:p>
    <w:p w:rsidR="008C6F2C" w:rsidRPr="00B37331" w:rsidRDefault="008C6F2C" w:rsidP="00B37331">
      <w:pPr>
        <w:tabs>
          <w:tab w:val="right" w:pos="10800"/>
        </w:tabs>
        <w:jc w:val="center"/>
        <w:rPr>
          <w:rFonts w:ascii="Times New Roman" w:hAnsi="Times New Roman"/>
          <w:b/>
          <w:sz w:val="21"/>
          <w:szCs w:val="22"/>
        </w:rPr>
      </w:pPr>
      <w:r w:rsidRPr="00227641">
        <w:rPr>
          <w:rFonts w:ascii="Times New Roman" w:hAnsi="Times New Roman"/>
          <w:b/>
          <w:noProof/>
          <w:sz w:val="21"/>
          <w:szCs w:val="22"/>
        </w:rPr>
        <w:t>Investigating APOE4 Gene Dose Effect and Risk Factor Prevalence Among Race Groups</w:t>
      </w:r>
    </w:p>
    <w:p w:rsidR="008C6F2C" w:rsidRDefault="008C6F2C" w:rsidP="00902D1C">
      <w:pPr>
        <w:tabs>
          <w:tab w:val="right" w:pos="10800"/>
        </w:tabs>
        <w:rPr>
          <w:rFonts w:ascii="Times New Roman" w:hAnsi="Times New Roman"/>
          <w:sz w:val="21"/>
          <w:szCs w:val="22"/>
        </w:rPr>
      </w:pPr>
    </w:p>
    <w:p w:rsidR="008C6F2C" w:rsidRPr="00227641" w:rsidRDefault="008C6F2C" w:rsidP="00B37331">
      <w:pPr>
        <w:tabs>
          <w:tab w:val="right" w:pos="10800"/>
        </w:tabs>
        <w:rPr>
          <w:rFonts w:ascii="Times New Roman" w:hAnsi="Times New Roman"/>
          <w:noProof/>
          <w:sz w:val="21"/>
          <w:szCs w:val="22"/>
        </w:rPr>
      </w:pPr>
      <w:r w:rsidRPr="00227641">
        <w:rPr>
          <w:rFonts w:ascii="Times New Roman" w:hAnsi="Times New Roman"/>
          <w:noProof/>
          <w:sz w:val="21"/>
          <w:szCs w:val="22"/>
        </w:rPr>
        <w:t xml:space="preserve">Objective: The main objective of this study is to characterize the effects of APOE4 gene dose on cognitive ability and concentrations of pathological protein, along with comparing the prevalence of APOE4 among different race populations. </w:t>
      </w:r>
    </w:p>
    <w:p w:rsidR="008C6F2C" w:rsidRPr="00227641" w:rsidRDefault="008C6F2C" w:rsidP="00B37331">
      <w:pPr>
        <w:tabs>
          <w:tab w:val="right" w:pos="10800"/>
        </w:tabs>
        <w:rPr>
          <w:rFonts w:ascii="Times New Roman" w:hAnsi="Times New Roman"/>
          <w:noProof/>
          <w:sz w:val="21"/>
          <w:szCs w:val="22"/>
        </w:rPr>
      </w:pPr>
      <w:r w:rsidRPr="00227641">
        <w:rPr>
          <w:rFonts w:ascii="Times New Roman" w:hAnsi="Times New Roman"/>
          <w:noProof/>
          <w:sz w:val="21"/>
          <w:szCs w:val="22"/>
        </w:rPr>
        <w:t xml:space="preserve">Methods: The AlzheimerÃ­s Disease Neuroimaging Initiative (ADNI) database was accessed. Key variables used to carry out a retrospective statistical analysis include participant race, APOE4 status, their score on MMSE and ADAS-Cog11, and concentrations of ABETA and TAU in their system. Mean scores on MMSE and ADAS-Cog11 were compared across 3 genotype groups (0,1, or 2 APOE4 alleles) using an ANOVA. Similarly, concentrations of ABETA and TAU protein were compared among the same 3 genotype groups using an ANOVA to determine if there was a significant difference in group means. Finally, APOE4 allele frequency among 5 different race groups (Black, Asian, Native American Indian, Hawaiian/Pacific Islander, White) were compared using chi-squared analysis. </w:t>
      </w:r>
    </w:p>
    <w:p w:rsidR="008C6F2C" w:rsidRPr="00227641" w:rsidRDefault="008C6F2C" w:rsidP="00B37331">
      <w:pPr>
        <w:tabs>
          <w:tab w:val="right" w:pos="10800"/>
        </w:tabs>
        <w:rPr>
          <w:rFonts w:ascii="Times New Roman" w:hAnsi="Times New Roman"/>
          <w:noProof/>
          <w:sz w:val="21"/>
          <w:szCs w:val="22"/>
        </w:rPr>
      </w:pPr>
      <w:r w:rsidRPr="00227641">
        <w:rPr>
          <w:rFonts w:ascii="Times New Roman" w:hAnsi="Times New Roman"/>
          <w:noProof/>
          <w:sz w:val="21"/>
          <w:szCs w:val="22"/>
        </w:rPr>
        <w:t xml:space="preserve">Results: Scores on MMSE were significantly different across the genotype groups (mean=26.8, p&lt;0.0001) as were scores on ADAS-Cog11 (mean=11.2, p&lt;0.0001). Mean ABETA concentrations among the genotype groups varied significantly from each other (mean ABETA=828.8 pg/mL, p&lt;0.0001), as did mean concentrations of TAU (mean TAU=260.82 pg/mL, p&lt;0.0001). There was no statistically significant difference in APOE4 allele frequency among the races (p=0.21). </w:t>
      </w:r>
    </w:p>
    <w:p w:rsidR="008C6F2C" w:rsidRPr="00055FEF" w:rsidRDefault="008C6F2C" w:rsidP="00B37331">
      <w:pPr>
        <w:tabs>
          <w:tab w:val="right" w:pos="10800"/>
        </w:tabs>
        <w:rPr>
          <w:rFonts w:ascii="Times New Roman" w:hAnsi="Times New Roman"/>
          <w:b/>
          <w:sz w:val="21"/>
          <w:szCs w:val="22"/>
        </w:rPr>
      </w:pPr>
      <w:r w:rsidRPr="00227641">
        <w:rPr>
          <w:rFonts w:ascii="Times New Roman" w:hAnsi="Times New Roman"/>
          <w:noProof/>
          <w:sz w:val="21"/>
          <w:szCs w:val="22"/>
        </w:rPr>
        <w:t>Discussion and Conclusion: Our study revealed that having one or more copies of the APOE4 risk factor would lead to worse performance on MMSE and ADAS-Cog11, which is consistent with previous studies. Also, participants who had one or both copies of APOE4 were shown to have lower mean levels of ABETA, but higher levels TAU, which contrasts many previous studies. Finally, the APOE4 allele frequency is not significantly different among the different races, although previous studies show it to be more prevalent in the Black population.</w:t>
      </w:r>
    </w:p>
    <w:p w:rsidR="008C6F2C" w:rsidRDefault="008C6F2C" w:rsidP="00902D1C">
      <w:pPr>
        <w:tabs>
          <w:tab w:val="right" w:pos="10800"/>
        </w:tabs>
        <w:rPr>
          <w:rFonts w:ascii="Times New Roman" w:hAnsi="Times New Roman"/>
          <w:sz w:val="21"/>
          <w:szCs w:val="22"/>
        </w:rPr>
      </w:pPr>
    </w:p>
    <w:p w:rsidR="008C6F2C" w:rsidRPr="00DC478F" w:rsidRDefault="008C6F2C" w:rsidP="00902D1C">
      <w:pPr>
        <w:tabs>
          <w:tab w:val="right" w:pos="10800"/>
        </w:tabs>
        <w:rPr>
          <w:rFonts w:ascii="Times New Roman" w:hAnsi="Times New Roman"/>
          <w:sz w:val="21"/>
          <w:szCs w:val="22"/>
        </w:rPr>
      </w:pPr>
    </w:p>
    <w:p w:rsidR="008C6F2C" w:rsidRPr="00DC478F" w:rsidRDefault="008C6F2C" w:rsidP="00DC478F">
      <w:pPr>
        <w:tabs>
          <w:tab w:val="right" w:pos="10800"/>
        </w:tabs>
        <w:rPr>
          <w:rFonts w:ascii="Times New Roman" w:hAnsi="Times New Roman"/>
          <w:sz w:val="21"/>
          <w:szCs w:val="22"/>
        </w:rPr>
      </w:pPr>
      <w:r w:rsidRPr="00DC478F">
        <w:rPr>
          <w:rFonts w:ascii="Times New Roman" w:hAnsi="Times New Roman"/>
          <w:sz w:val="21"/>
          <w:szCs w:val="22"/>
        </w:rPr>
        <w:tab/>
      </w:r>
    </w:p>
    <w:p w:rsidR="008C6F2C" w:rsidRDefault="008C6F2C" w:rsidP="0090102C">
      <w:pPr>
        <w:jc w:val="both"/>
        <w:rPr>
          <w:rFonts w:ascii="Times New Roman" w:hAnsi="Times New Roman"/>
          <w:sz w:val="21"/>
          <w:szCs w:val="22"/>
        </w:rPr>
        <w:sectPr w:rsidR="008C6F2C" w:rsidSect="008C6F2C">
          <w:headerReference w:type="even" r:id="rId20"/>
          <w:headerReference w:type="default" r:id="rId21"/>
          <w:footerReference w:type="even" r:id="rId22"/>
          <w:footerReference w:type="default" r:id="rId23"/>
          <w:headerReference w:type="first" r:id="rId24"/>
          <w:footerReference w:type="first" r:id="rId25"/>
          <w:footnotePr>
            <w:pos w:val="beneathText"/>
          </w:footnotePr>
          <w:pgSz w:w="12240" w:h="7920" w:code="1"/>
          <w:pgMar w:top="720" w:right="720" w:bottom="720" w:left="720" w:header="720" w:footer="172" w:gutter="0"/>
          <w:pgNumType w:start="1"/>
          <w:cols w:space="720"/>
          <w:docGrid w:linePitch="360"/>
        </w:sectPr>
      </w:pPr>
    </w:p>
    <w:p w:rsidR="008C6F2C" w:rsidRDefault="008C6F2C" w:rsidP="00902D1C">
      <w:pPr>
        <w:tabs>
          <w:tab w:val="right" w:pos="10800"/>
        </w:tabs>
        <w:rPr>
          <w:rFonts w:ascii="Times New Roman" w:hAnsi="Times New Roman"/>
          <w:sz w:val="21"/>
          <w:szCs w:val="22"/>
        </w:rPr>
      </w:pPr>
      <w:r w:rsidRPr="00227641">
        <w:rPr>
          <w:rFonts w:ascii="Times New Roman" w:hAnsi="Times New Roman"/>
          <w:noProof/>
          <w:sz w:val="21"/>
          <w:szCs w:val="22"/>
        </w:rPr>
        <w:t>Sridesh</w:t>
      </w:r>
      <w:r>
        <w:rPr>
          <w:rFonts w:ascii="Times New Roman" w:hAnsi="Times New Roman"/>
          <w:sz w:val="21"/>
          <w:szCs w:val="22"/>
        </w:rPr>
        <w:t xml:space="preserve"> </w:t>
      </w:r>
      <w:r w:rsidRPr="00227641">
        <w:rPr>
          <w:rFonts w:ascii="Times New Roman" w:hAnsi="Times New Roman"/>
          <w:noProof/>
          <w:sz w:val="21"/>
          <w:szCs w:val="22"/>
        </w:rPr>
        <w:t>Nath</w:t>
      </w:r>
      <w:r w:rsidRPr="00DC478F">
        <w:rPr>
          <w:rFonts w:ascii="Times New Roman" w:hAnsi="Times New Roman"/>
          <w:sz w:val="21"/>
          <w:szCs w:val="22"/>
        </w:rPr>
        <w:tab/>
        <w:t>Advisor(s):</w:t>
      </w:r>
      <w:r>
        <w:rPr>
          <w:rFonts w:ascii="Times New Roman" w:hAnsi="Times New Roman"/>
          <w:sz w:val="21"/>
          <w:szCs w:val="22"/>
        </w:rPr>
        <w:t xml:space="preserve"> </w:t>
      </w:r>
      <w:r w:rsidRPr="00227641">
        <w:rPr>
          <w:rFonts w:ascii="Times New Roman" w:hAnsi="Times New Roman"/>
          <w:noProof/>
          <w:sz w:val="21"/>
          <w:szCs w:val="22"/>
        </w:rPr>
        <w:t>Patrick</w:t>
      </w:r>
      <w:r>
        <w:rPr>
          <w:rFonts w:ascii="Times New Roman" w:hAnsi="Times New Roman"/>
          <w:sz w:val="21"/>
          <w:szCs w:val="22"/>
        </w:rPr>
        <w:t xml:space="preserve"> </w:t>
      </w:r>
      <w:r w:rsidRPr="00227641">
        <w:rPr>
          <w:rFonts w:ascii="Times New Roman" w:hAnsi="Times New Roman"/>
          <w:noProof/>
          <w:sz w:val="21"/>
          <w:szCs w:val="22"/>
        </w:rPr>
        <w:t>Geraghty</w:t>
      </w:r>
    </w:p>
    <w:p w:rsidR="008C6F2C" w:rsidRDefault="008C6F2C" w:rsidP="00902D1C">
      <w:pPr>
        <w:tabs>
          <w:tab w:val="right" w:pos="10800"/>
        </w:tabs>
        <w:rPr>
          <w:rFonts w:ascii="Times New Roman" w:hAnsi="Times New Roman"/>
          <w:sz w:val="21"/>
          <w:szCs w:val="22"/>
        </w:rPr>
      </w:pPr>
    </w:p>
    <w:p w:rsidR="008C6F2C" w:rsidRPr="00B37331" w:rsidRDefault="008C6F2C" w:rsidP="00B37331">
      <w:pPr>
        <w:tabs>
          <w:tab w:val="right" w:pos="10800"/>
        </w:tabs>
        <w:jc w:val="center"/>
        <w:rPr>
          <w:rFonts w:ascii="Times New Roman" w:hAnsi="Times New Roman"/>
          <w:b/>
          <w:sz w:val="21"/>
          <w:szCs w:val="22"/>
        </w:rPr>
      </w:pPr>
      <w:r w:rsidRPr="00227641">
        <w:rPr>
          <w:rFonts w:ascii="Times New Roman" w:hAnsi="Times New Roman"/>
          <w:b/>
          <w:noProof/>
          <w:sz w:val="21"/>
          <w:szCs w:val="22"/>
        </w:rPr>
        <w:t>Protein Phosphatase 2A Prevents Cigarette Smoke-Induced Cathepsin S and Loss of Lung Function</w:t>
      </w:r>
    </w:p>
    <w:p w:rsidR="008C6F2C" w:rsidRDefault="008C6F2C" w:rsidP="00902D1C">
      <w:pPr>
        <w:tabs>
          <w:tab w:val="right" w:pos="10800"/>
        </w:tabs>
        <w:rPr>
          <w:rFonts w:ascii="Times New Roman" w:hAnsi="Times New Roman"/>
          <w:sz w:val="21"/>
          <w:szCs w:val="22"/>
        </w:rPr>
      </w:pPr>
    </w:p>
    <w:p w:rsidR="008C6F2C" w:rsidRPr="00227641" w:rsidRDefault="008C6F2C" w:rsidP="00B37331">
      <w:pPr>
        <w:tabs>
          <w:tab w:val="right" w:pos="10800"/>
        </w:tabs>
        <w:rPr>
          <w:rFonts w:ascii="Times New Roman" w:hAnsi="Times New Roman"/>
          <w:noProof/>
          <w:sz w:val="21"/>
          <w:szCs w:val="22"/>
        </w:rPr>
      </w:pPr>
      <w:r w:rsidRPr="00227641">
        <w:rPr>
          <w:rFonts w:ascii="Times New Roman" w:hAnsi="Times New Roman"/>
          <w:noProof/>
          <w:sz w:val="21"/>
          <w:szCs w:val="22"/>
        </w:rPr>
        <w:t xml:space="preserve">Introduction: Cathepsin S (CTSS) is a cysteine protease that is observed at higher concentrations in bronchoalveolar lavage fluid and plasma of chronic obstructive pulmonary disease (COPD) subjects. The objective of this study was to investigate whether CTSS is involved in the pathogenesis of cigarette smoke-induced COPD and determine whether targeting upstream signalling could prevent smoke induced disease. </w:t>
      </w:r>
    </w:p>
    <w:p w:rsidR="008C6F2C" w:rsidRPr="00227641" w:rsidRDefault="008C6F2C" w:rsidP="00B37331">
      <w:pPr>
        <w:tabs>
          <w:tab w:val="right" w:pos="10800"/>
        </w:tabs>
        <w:rPr>
          <w:rFonts w:ascii="Times New Roman" w:hAnsi="Times New Roman"/>
          <w:noProof/>
          <w:sz w:val="21"/>
          <w:szCs w:val="22"/>
        </w:rPr>
      </w:pPr>
      <w:r>
        <w:rPr>
          <w:rFonts w:ascii="Times New Roman" w:hAnsi="Times New Roman"/>
          <w:noProof/>
          <w:sz w:val="21"/>
          <w:szCs w:val="22"/>
        </w:rPr>
        <w:t xml:space="preserve">Methods: </w:t>
      </w:r>
      <w:r w:rsidRPr="00227641">
        <w:rPr>
          <w:rFonts w:ascii="Times New Roman" w:hAnsi="Times New Roman"/>
          <w:noProof/>
          <w:sz w:val="21"/>
          <w:szCs w:val="22"/>
        </w:rPr>
        <w:t>Cathepsin S expression was investigated in animal and cell models of COPD. Ctss-/- mice were exposed to long-term cigarette smoke and forced oscillation and expiratory measurements were recorded. Animals were administered chemical activators of protein phosphatase 2A (PP2A).</w:t>
      </w:r>
    </w:p>
    <w:p w:rsidR="008C6F2C" w:rsidRPr="00227641" w:rsidRDefault="008C6F2C" w:rsidP="00B37331">
      <w:pPr>
        <w:tabs>
          <w:tab w:val="right" w:pos="10800"/>
        </w:tabs>
        <w:rPr>
          <w:rFonts w:ascii="Times New Roman" w:hAnsi="Times New Roman"/>
          <w:noProof/>
          <w:sz w:val="21"/>
          <w:szCs w:val="22"/>
        </w:rPr>
      </w:pPr>
      <w:r w:rsidRPr="00227641">
        <w:rPr>
          <w:rFonts w:ascii="Times New Roman" w:hAnsi="Times New Roman"/>
          <w:noProof/>
          <w:sz w:val="21"/>
          <w:szCs w:val="22"/>
        </w:rPr>
        <w:t>Results: Here we observed enhanced CTSS expression and activity in mouse lungs following exposure to cigarette smoke. Ctss-/- mice were resistant to cigarette smoke-induced inflammation, airway hyperresponsiveness, airspace enlargements and loss of lung function. CTSS expression was negatively regulated by PP2A in human bronchial epithelial cells isolated from healthy non-smokers and COPD donors. Modulating PP2A activity, with a chemical inhibitor or activator or PP2A specific shRNA, during acute smoke exposure in mice altered inflammatory responses and CTSS expression and activity in the lung. Enhancement of PP2A activity prevented chronic smoke induced COPD in mice.</w:t>
      </w:r>
    </w:p>
    <w:p w:rsidR="008C6F2C" w:rsidRPr="00227641" w:rsidRDefault="008C6F2C" w:rsidP="00B37331">
      <w:pPr>
        <w:tabs>
          <w:tab w:val="right" w:pos="10800"/>
        </w:tabs>
        <w:rPr>
          <w:rFonts w:ascii="Times New Roman" w:hAnsi="Times New Roman"/>
          <w:noProof/>
          <w:sz w:val="21"/>
          <w:szCs w:val="22"/>
        </w:rPr>
      </w:pPr>
      <w:r w:rsidRPr="00227641">
        <w:rPr>
          <w:rFonts w:ascii="Times New Roman" w:hAnsi="Times New Roman"/>
          <w:noProof/>
          <w:sz w:val="21"/>
          <w:szCs w:val="22"/>
        </w:rPr>
        <w:t>Conclusion: Our study indicates that the decrease in PP2A activity that occurs in COPD contributes to elevated CTSS expression in the lungs and results in impaired lung function. Enhancing PP2A activity represents a feasible therapeutic approach to reduce CTSS activity and counter smoke-induced lung disease.</w:t>
      </w:r>
    </w:p>
    <w:p w:rsidR="008C6F2C" w:rsidRPr="00055FEF" w:rsidRDefault="008C6F2C" w:rsidP="00B37331">
      <w:pPr>
        <w:tabs>
          <w:tab w:val="right" w:pos="10800"/>
        </w:tabs>
        <w:rPr>
          <w:rFonts w:ascii="Times New Roman" w:hAnsi="Times New Roman"/>
          <w:b/>
          <w:sz w:val="21"/>
          <w:szCs w:val="22"/>
        </w:rPr>
      </w:pPr>
    </w:p>
    <w:p w:rsidR="008C6F2C" w:rsidRDefault="008C6F2C" w:rsidP="00902D1C">
      <w:pPr>
        <w:tabs>
          <w:tab w:val="right" w:pos="10800"/>
        </w:tabs>
        <w:rPr>
          <w:rFonts w:ascii="Times New Roman" w:hAnsi="Times New Roman"/>
          <w:sz w:val="21"/>
          <w:szCs w:val="22"/>
        </w:rPr>
      </w:pPr>
    </w:p>
    <w:p w:rsidR="008C6F2C" w:rsidRPr="00DC478F" w:rsidRDefault="008C6F2C" w:rsidP="00902D1C">
      <w:pPr>
        <w:tabs>
          <w:tab w:val="right" w:pos="10800"/>
        </w:tabs>
        <w:rPr>
          <w:rFonts w:ascii="Times New Roman" w:hAnsi="Times New Roman"/>
          <w:sz w:val="21"/>
          <w:szCs w:val="22"/>
        </w:rPr>
      </w:pPr>
    </w:p>
    <w:p w:rsidR="008C6F2C" w:rsidRPr="00DC478F" w:rsidRDefault="008C6F2C" w:rsidP="00DC478F">
      <w:pPr>
        <w:tabs>
          <w:tab w:val="right" w:pos="10800"/>
        </w:tabs>
        <w:rPr>
          <w:rFonts w:ascii="Times New Roman" w:hAnsi="Times New Roman"/>
          <w:sz w:val="21"/>
          <w:szCs w:val="22"/>
        </w:rPr>
      </w:pPr>
      <w:r w:rsidRPr="00DC478F">
        <w:rPr>
          <w:rFonts w:ascii="Times New Roman" w:hAnsi="Times New Roman"/>
          <w:sz w:val="21"/>
          <w:szCs w:val="22"/>
        </w:rPr>
        <w:tab/>
      </w:r>
    </w:p>
    <w:p w:rsidR="008C6F2C" w:rsidRPr="002F6585" w:rsidRDefault="008C6F2C" w:rsidP="00E7279B">
      <w:pPr>
        <w:jc w:val="center"/>
        <w:rPr>
          <w:rFonts w:ascii="Times New Roman" w:hAnsi="Times New Roman"/>
          <w:b/>
          <w:sz w:val="21"/>
          <w:szCs w:val="22"/>
        </w:rPr>
      </w:pPr>
    </w:p>
    <w:p w:rsidR="008C6F2C" w:rsidRDefault="008C6F2C" w:rsidP="00902D1C">
      <w:pPr>
        <w:tabs>
          <w:tab w:val="right" w:pos="10800"/>
        </w:tabs>
        <w:rPr>
          <w:rFonts w:ascii="Times New Roman" w:hAnsi="Times New Roman"/>
          <w:sz w:val="21"/>
          <w:szCs w:val="22"/>
        </w:rPr>
      </w:pPr>
      <w:r w:rsidRPr="00227641">
        <w:rPr>
          <w:rFonts w:ascii="Times New Roman" w:hAnsi="Times New Roman"/>
          <w:noProof/>
          <w:sz w:val="21"/>
          <w:szCs w:val="22"/>
        </w:rPr>
        <w:t>Joel</w:t>
      </w:r>
      <w:r>
        <w:rPr>
          <w:rFonts w:ascii="Times New Roman" w:hAnsi="Times New Roman"/>
          <w:sz w:val="21"/>
          <w:szCs w:val="22"/>
        </w:rPr>
        <w:t xml:space="preserve"> </w:t>
      </w:r>
      <w:r w:rsidRPr="00227641">
        <w:rPr>
          <w:rFonts w:ascii="Times New Roman" w:hAnsi="Times New Roman"/>
          <w:noProof/>
          <w:sz w:val="21"/>
          <w:szCs w:val="22"/>
        </w:rPr>
        <w:t>Rosiene</w:t>
      </w:r>
      <w:r w:rsidRPr="00DC478F">
        <w:rPr>
          <w:rFonts w:ascii="Times New Roman" w:hAnsi="Times New Roman"/>
          <w:sz w:val="21"/>
          <w:szCs w:val="22"/>
        </w:rPr>
        <w:tab/>
        <w:t>Advisor(s):</w:t>
      </w:r>
      <w:r>
        <w:rPr>
          <w:rFonts w:ascii="Times New Roman" w:hAnsi="Times New Roman"/>
          <w:sz w:val="21"/>
          <w:szCs w:val="22"/>
        </w:rPr>
        <w:t xml:space="preserve"> </w:t>
      </w:r>
      <w:r w:rsidRPr="00227641">
        <w:rPr>
          <w:rFonts w:ascii="Times New Roman" w:hAnsi="Times New Roman"/>
          <w:noProof/>
          <w:sz w:val="21"/>
          <w:szCs w:val="22"/>
        </w:rPr>
        <w:t>Marcin</w:t>
      </w:r>
      <w:r>
        <w:rPr>
          <w:rFonts w:ascii="Times New Roman" w:hAnsi="Times New Roman"/>
          <w:sz w:val="21"/>
          <w:szCs w:val="22"/>
        </w:rPr>
        <w:t xml:space="preserve"> </w:t>
      </w:r>
      <w:r w:rsidRPr="00227641">
        <w:rPr>
          <w:rFonts w:ascii="Times New Roman" w:hAnsi="Times New Roman"/>
          <w:noProof/>
          <w:sz w:val="21"/>
          <w:szCs w:val="22"/>
        </w:rPr>
        <w:t>Imielinski</w:t>
      </w:r>
    </w:p>
    <w:p w:rsidR="008C6F2C" w:rsidRDefault="008C6F2C" w:rsidP="00902D1C">
      <w:pPr>
        <w:tabs>
          <w:tab w:val="right" w:pos="10800"/>
        </w:tabs>
        <w:rPr>
          <w:rFonts w:ascii="Times New Roman" w:hAnsi="Times New Roman"/>
          <w:sz w:val="21"/>
          <w:szCs w:val="22"/>
        </w:rPr>
      </w:pPr>
    </w:p>
    <w:p w:rsidR="008C6F2C" w:rsidRPr="00B37331" w:rsidRDefault="008C6F2C" w:rsidP="00B37331">
      <w:pPr>
        <w:tabs>
          <w:tab w:val="right" w:pos="10800"/>
        </w:tabs>
        <w:jc w:val="center"/>
        <w:rPr>
          <w:rFonts w:ascii="Times New Roman" w:hAnsi="Times New Roman"/>
          <w:b/>
          <w:sz w:val="21"/>
          <w:szCs w:val="22"/>
        </w:rPr>
      </w:pPr>
      <w:r w:rsidRPr="00227641">
        <w:rPr>
          <w:rFonts w:ascii="Times New Roman" w:hAnsi="Times New Roman"/>
          <w:b/>
          <w:noProof/>
          <w:sz w:val="21"/>
          <w:szCs w:val="22"/>
        </w:rPr>
        <w:t>Emerging Landscapes of Structural Variation in Cancer</w:t>
      </w:r>
    </w:p>
    <w:p w:rsidR="008C6F2C" w:rsidRDefault="008C6F2C" w:rsidP="00902D1C">
      <w:pPr>
        <w:tabs>
          <w:tab w:val="right" w:pos="10800"/>
        </w:tabs>
        <w:rPr>
          <w:rFonts w:ascii="Times New Roman" w:hAnsi="Times New Roman"/>
          <w:sz w:val="21"/>
          <w:szCs w:val="22"/>
        </w:rPr>
      </w:pPr>
    </w:p>
    <w:p w:rsidR="008C6F2C" w:rsidRPr="00055FEF" w:rsidRDefault="008C6F2C" w:rsidP="00B37331">
      <w:pPr>
        <w:tabs>
          <w:tab w:val="right" w:pos="10800"/>
        </w:tabs>
        <w:rPr>
          <w:rFonts w:ascii="Times New Roman" w:hAnsi="Times New Roman"/>
          <w:b/>
          <w:sz w:val="21"/>
          <w:szCs w:val="22"/>
        </w:rPr>
      </w:pPr>
      <w:r w:rsidRPr="00227641">
        <w:rPr>
          <w:rFonts w:ascii="Times New Roman" w:hAnsi="Times New Roman"/>
          <w:noProof/>
          <w:sz w:val="21"/>
          <w:szCs w:val="22"/>
        </w:rPr>
        <w:t>Analysis of structural genomic variants and their specificity of association with altered transcriptional states and driver events remains an open realm of investigation in cancer biology.  At present, clinical exome and targeted sequencing panels, such as WCMC EXaCT-1 and MSK-IMPACT, represent the standard of care in clinical cancer genomics.  Notably, emerging analytical techniques coupled to the developing wealth of deep sequenced cancer whole genomes have enabled the characterization of novel, highly complex genomic states focal to regions of the genome not covered by exome based tests.  In this work we describe multiple complex event types which have been identified within a pan-cancer analysis cohort via the application of graph based genomic modeling and subsequent topic modeling upon generated graph features.  The diversity of complex event types discovered includes frank tandem duplication, local chromothripsis/chromoplexy, and a number of novel event types as yet undescribed in the literature.  Additionally, we are able to demonstrate that, using features defined within the structural genomic space, particular patterns of rearrangement are enriched in different genotypic contexts.  In one example, we are able to demonstrate an association between Homologous Recombination Deficiency (HRD) status, the previously defined Catalogue of Somatic Mutations In Cancer (COSMIC) signature 3, and our topic model defined structural variant signature 11.  The implications of these analyses describing diverse alterations derived from the non-coding genome are such that the implementation of clinical whole genome sequencing can be expected to expand rapidly in the coming years.</w:t>
      </w:r>
    </w:p>
    <w:p w:rsidR="008C6F2C" w:rsidRDefault="008C6F2C" w:rsidP="00902D1C">
      <w:pPr>
        <w:tabs>
          <w:tab w:val="right" w:pos="10800"/>
        </w:tabs>
        <w:rPr>
          <w:rFonts w:ascii="Times New Roman" w:hAnsi="Times New Roman"/>
          <w:sz w:val="21"/>
          <w:szCs w:val="22"/>
        </w:rPr>
      </w:pPr>
    </w:p>
    <w:p w:rsidR="008C6F2C" w:rsidRPr="00DC478F" w:rsidRDefault="008C6F2C" w:rsidP="00902D1C">
      <w:pPr>
        <w:tabs>
          <w:tab w:val="right" w:pos="10800"/>
        </w:tabs>
        <w:rPr>
          <w:rFonts w:ascii="Times New Roman" w:hAnsi="Times New Roman"/>
          <w:sz w:val="21"/>
          <w:szCs w:val="22"/>
        </w:rPr>
      </w:pPr>
    </w:p>
    <w:p w:rsidR="008C6F2C" w:rsidRPr="00DC478F" w:rsidRDefault="008C6F2C" w:rsidP="00DC478F">
      <w:pPr>
        <w:tabs>
          <w:tab w:val="right" w:pos="10800"/>
        </w:tabs>
        <w:rPr>
          <w:rFonts w:ascii="Times New Roman" w:hAnsi="Times New Roman"/>
          <w:sz w:val="21"/>
          <w:szCs w:val="22"/>
        </w:rPr>
      </w:pPr>
      <w:r w:rsidRPr="00DC478F">
        <w:rPr>
          <w:rFonts w:ascii="Times New Roman" w:hAnsi="Times New Roman"/>
          <w:sz w:val="21"/>
          <w:szCs w:val="22"/>
        </w:rPr>
        <w:tab/>
      </w:r>
    </w:p>
    <w:p w:rsidR="008C6F2C" w:rsidRPr="002F6585" w:rsidRDefault="008C6F2C" w:rsidP="00E7279B">
      <w:pPr>
        <w:jc w:val="center"/>
        <w:rPr>
          <w:rFonts w:ascii="Times New Roman" w:hAnsi="Times New Roman"/>
          <w:b/>
          <w:sz w:val="21"/>
          <w:szCs w:val="22"/>
        </w:rPr>
      </w:pPr>
    </w:p>
    <w:p w:rsidR="008C6F2C" w:rsidRDefault="008C6F2C" w:rsidP="006672AE">
      <w:pPr>
        <w:rPr>
          <w:rFonts w:ascii="Times New Roman" w:hAnsi="Times New Roman"/>
          <w:sz w:val="21"/>
          <w:szCs w:val="22"/>
        </w:rPr>
      </w:pPr>
    </w:p>
    <w:p w:rsidR="008C6F2C" w:rsidRPr="00DC478F" w:rsidRDefault="008C6F2C" w:rsidP="006672AE">
      <w:pPr>
        <w:rPr>
          <w:rFonts w:ascii="Times New Roman" w:hAnsi="Times New Roman"/>
          <w:sz w:val="21"/>
          <w:szCs w:val="22"/>
        </w:rPr>
      </w:pPr>
    </w:p>
    <w:p w:rsidR="008C6F2C" w:rsidRDefault="008C6F2C" w:rsidP="0090102C">
      <w:pPr>
        <w:jc w:val="both"/>
        <w:rPr>
          <w:rFonts w:ascii="Times New Roman" w:hAnsi="Times New Roman"/>
          <w:sz w:val="21"/>
          <w:szCs w:val="22"/>
        </w:rPr>
        <w:sectPr w:rsidR="008C6F2C" w:rsidSect="008C6F2C">
          <w:headerReference w:type="even" r:id="rId26"/>
          <w:headerReference w:type="default" r:id="rId27"/>
          <w:footerReference w:type="even" r:id="rId28"/>
          <w:footerReference w:type="default" r:id="rId29"/>
          <w:headerReference w:type="first" r:id="rId30"/>
          <w:footerReference w:type="first" r:id="rId31"/>
          <w:footnotePr>
            <w:pos w:val="beneathText"/>
          </w:footnotePr>
          <w:pgSz w:w="12240" w:h="7920" w:code="1"/>
          <w:pgMar w:top="720" w:right="720" w:bottom="720" w:left="720" w:header="720" w:footer="172" w:gutter="0"/>
          <w:pgNumType w:start="1"/>
          <w:cols w:space="720"/>
          <w:docGrid w:linePitch="360"/>
        </w:sectPr>
      </w:pPr>
    </w:p>
    <w:p w:rsidR="008C6F2C" w:rsidRDefault="008C6F2C" w:rsidP="00902D1C">
      <w:pPr>
        <w:tabs>
          <w:tab w:val="right" w:pos="10800"/>
        </w:tabs>
        <w:rPr>
          <w:rFonts w:ascii="Times New Roman" w:hAnsi="Times New Roman"/>
          <w:sz w:val="21"/>
          <w:szCs w:val="22"/>
        </w:rPr>
      </w:pPr>
      <w:r w:rsidRPr="00227641">
        <w:rPr>
          <w:rFonts w:ascii="Times New Roman" w:hAnsi="Times New Roman"/>
          <w:noProof/>
          <w:sz w:val="21"/>
          <w:szCs w:val="22"/>
        </w:rPr>
        <w:t>Niki</w:t>
      </w:r>
      <w:r>
        <w:rPr>
          <w:rFonts w:ascii="Times New Roman" w:hAnsi="Times New Roman"/>
          <w:sz w:val="21"/>
          <w:szCs w:val="22"/>
        </w:rPr>
        <w:t xml:space="preserve"> </w:t>
      </w:r>
      <w:r w:rsidRPr="00227641">
        <w:rPr>
          <w:rFonts w:ascii="Times New Roman" w:hAnsi="Times New Roman"/>
          <w:noProof/>
          <w:sz w:val="21"/>
          <w:szCs w:val="22"/>
        </w:rPr>
        <w:t>Sheth</w:t>
      </w:r>
      <w:r w:rsidRPr="00DC478F">
        <w:rPr>
          <w:rFonts w:ascii="Times New Roman" w:hAnsi="Times New Roman"/>
          <w:sz w:val="21"/>
          <w:szCs w:val="22"/>
        </w:rPr>
        <w:tab/>
        <w:t>Advisor(s):</w:t>
      </w:r>
      <w:r>
        <w:rPr>
          <w:rFonts w:ascii="Times New Roman" w:hAnsi="Times New Roman"/>
          <w:sz w:val="21"/>
          <w:szCs w:val="22"/>
        </w:rPr>
        <w:t xml:space="preserve"> </w:t>
      </w:r>
      <w:r w:rsidRPr="00227641">
        <w:rPr>
          <w:rFonts w:ascii="Times New Roman" w:hAnsi="Times New Roman"/>
          <w:noProof/>
          <w:sz w:val="21"/>
          <w:szCs w:val="22"/>
        </w:rPr>
        <w:t>David</w:t>
      </w:r>
      <w:r>
        <w:rPr>
          <w:rFonts w:ascii="Times New Roman" w:hAnsi="Times New Roman"/>
          <w:sz w:val="21"/>
          <w:szCs w:val="22"/>
        </w:rPr>
        <w:t xml:space="preserve"> </w:t>
      </w:r>
      <w:r w:rsidRPr="00227641">
        <w:rPr>
          <w:rFonts w:ascii="Times New Roman" w:hAnsi="Times New Roman"/>
          <w:noProof/>
          <w:sz w:val="21"/>
          <w:szCs w:val="22"/>
        </w:rPr>
        <w:t>Schwartz</w:t>
      </w:r>
    </w:p>
    <w:p w:rsidR="008C6F2C" w:rsidRDefault="008C6F2C" w:rsidP="00902D1C">
      <w:pPr>
        <w:tabs>
          <w:tab w:val="right" w:pos="10800"/>
        </w:tabs>
        <w:rPr>
          <w:rFonts w:ascii="Times New Roman" w:hAnsi="Times New Roman"/>
          <w:sz w:val="21"/>
          <w:szCs w:val="22"/>
        </w:rPr>
      </w:pPr>
    </w:p>
    <w:p w:rsidR="008C6F2C" w:rsidRPr="00B37331" w:rsidRDefault="008C6F2C" w:rsidP="00B37331">
      <w:pPr>
        <w:tabs>
          <w:tab w:val="right" w:pos="10800"/>
        </w:tabs>
        <w:jc w:val="center"/>
        <w:rPr>
          <w:rFonts w:ascii="Times New Roman" w:hAnsi="Times New Roman"/>
          <w:b/>
          <w:sz w:val="21"/>
          <w:szCs w:val="22"/>
        </w:rPr>
      </w:pPr>
      <w:r w:rsidRPr="00227641">
        <w:rPr>
          <w:rFonts w:ascii="Times New Roman" w:hAnsi="Times New Roman"/>
          <w:b/>
          <w:noProof/>
          <w:sz w:val="21"/>
          <w:szCs w:val="22"/>
        </w:rPr>
        <w:t>Burnout in Radiation Oncology: A Pilot Residency Wellness Program</w:t>
      </w:r>
    </w:p>
    <w:p w:rsidR="008C6F2C" w:rsidRDefault="008C6F2C" w:rsidP="00902D1C">
      <w:pPr>
        <w:tabs>
          <w:tab w:val="right" w:pos="10800"/>
        </w:tabs>
        <w:rPr>
          <w:rFonts w:ascii="Times New Roman" w:hAnsi="Times New Roman"/>
          <w:sz w:val="21"/>
          <w:szCs w:val="22"/>
        </w:rPr>
      </w:pPr>
    </w:p>
    <w:p w:rsidR="008C6F2C" w:rsidRPr="00227641" w:rsidRDefault="008C6F2C" w:rsidP="00B37331">
      <w:pPr>
        <w:tabs>
          <w:tab w:val="right" w:pos="10800"/>
        </w:tabs>
        <w:rPr>
          <w:rFonts w:ascii="Times New Roman" w:hAnsi="Times New Roman"/>
          <w:noProof/>
          <w:sz w:val="21"/>
          <w:szCs w:val="22"/>
        </w:rPr>
      </w:pPr>
      <w:r w:rsidRPr="00227641">
        <w:rPr>
          <w:rFonts w:ascii="Times New Roman" w:hAnsi="Times New Roman"/>
          <w:noProof/>
          <w:sz w:val="21"/>
          <w:szCs w:val="22"/>
        </w:rPr>
        <w:t>Objective: Residency burnout has been of increasing concern in recent years and radiation oncology residents are no exception. As there has been no formal residency wellness curricula published within the field, we set about to report upon the process of formation of a pilot wellness program developed within the SUNY Downstate Radiation Oncology Residency program.</w:t>
      </w:r>
    </w:p>
    <w:p w:rsidR="008C6F2C" w:rsidRPr="00227641" w:rsidRDefault="008C6F2C" w:rsidP="00B37331">
      <w:pPr>
        <w:tabs>
          <w:tab w:val="right" w:pos="10800"/>
        </w:tabs>
        <w:rPr>
          <w:rFonts w:ascii="Times New Roman" w:hAnsi="Times New Roman"/>
          <w:noProof/>
          <w:sz w:val="21"/>
          <w:szCs w:val="22"/>
        </w:rPr>
      </w:pPr>
      <w:r w:rsidRPr="00227641">
        <w:rPr>
          <w:rFonts w:ascii="Times New Roman" w:hAnsi="Times New Roman"/>
          <w:noProof/>
          <w:sz w:val="21"/>
          <w:szCs w:val="22"/>
        </w:rPr>
        <w:t>Methods: First, a wellness committee was established with the residency program with an attending advisor. Prior to initiation of the curriculum, a questionnaire was distributed to the residents to gauge interest in wellness activities and to determine presence of any major concerns preliminarily relating to wellness.  When it came to development of the specific curriculum, an informal survey of other residency programs within the hospital was also conducted. In order to target the needs of our radiation oncology department specifically, we focused on the most popular options from the initial questionnaire as well as our unique stressors. The questionnaire was then again distributed approximately 1 year later.</w:t>
      </w:r>
    </w:p>
    <w:p w:rsidR="008C6F2C" w:rsidRPr="00227641" w:rsidRDefault="008C6F2C" w:rsidP="00B37331">
      <w:pPr>
        <w:tabs>
          <w:tab w:val="right" w:pos="10800"/>
        </w:tabs>
        <w:rPr>
          <w:rFonts w:ascii="Times New Roman" w:hAnsi="Times New Roman"/>
          <w:noProof/>
          <w:sz w:val="21"/>
          <w:szCs w:val="22"/>
        </w:rPr>
      </w:pPr>
      <w:r w:rsidRPr="00227641">
        <w:rPr>
          <w:rFonts w:ascii="Times New Roman" w:hAnsi="Times New Roman"/>
          <w:noProof/>
          <w:sz w:val="21"/>
          <w:szCs w:val="22"/>
        </w:rPr>
        <w:t xml:space="preserve">Results: The wellness committee conducted meetings, mostly via conference call, a total of 13 times during the period reported, 3/24/17-7/13/18.  The ultimate curriculum design included a variety of events: a formal retreat for the incoming residents, a lecture on burnout, less formal weekend and after-work gatherings, as well as a guided meditation session.  A list of wellness and/or mental health resources was also compiled and made available to residents. Lists of resources were compiled and distributed to the residents along with encouraging supplementary content in the form of a wellness newsletter.   </w:t>
      </w:r>
    </w:p>
    <w:p w:rsidR="008C6F2C" w:rsidRPr="00055FEF" w:rsidRDefault="008C6F2C" w:rsidP="00B37331">
      <w:pPr>
        <w:tabs>
          <w:tab w:val="right" w:pos="10800"/>
        </w:tabs>
        <w:rPr>
          <w:rFonts w:ascii="Times New Roman" w:hAnsi="Times New Roman"/>
          <w:b/>
          <w:sz w:val="21"/>
          <w:szCs w:val="22"/>
        </w:rPr>
      </w:pPr>
      <w:r w:rsidRPr="00227641">
        <w:rPr>
          <w:rFonts w:ascii="Times New Roman" w:hAnsi="Times New Roman"/>
          <w:noProof/>
          <w:sz w:val="21"/>
          <w:szCs w:val="22"/>
        </w:rPr>
        <w:t>Conclusion: The activities of this pilot wellness program represent the first such curriculum to be reported in our field. We encourage other departments to pursue wellness efforts and hope that they will be aided by the individual and organizational support to help maximize its impact.</w:t>
      </w:r>
    </w:p>
    <w:p w:rsidR="008C6F2C" w:rsidRDefault="008C6F2C" w:rsidP="00902D1C">
      <w:pPr>
        <w:tabs>
          <w:tab w:val="right" w:pos="10800"/>
        </w:tabs>
        <w:rPr>
          <w:rFonts w:ascii="Times New Roman" w:hAnsi="Times New Roman"/>
          <w:sz w:val="21"/>
          <w:szCs w:val="22"/>
        </w:rPr>
      </w:pPr>
    </w:p>
    <w:p w:rsidR="008C6F2C" w:rsidRPr="00DC478F" w:rsidRDefault="008C6F2C" w:rsidP="00902D1C">
      <w:pPr>
        <w:tabs>
          <w:tab w:val="right" w:pos="10800"/>
        </w:tabs>
        <w:rPr>
          <w:rFonts w:ascii="Times New Roman" w:hAnsi="Times New Roman"/>
          <w:sz w:val="21"/>
          <w:szCs w:val="22"/>
        </w:rPr>
      </w:pPr>
    </w:p>
    <w:p w:rsidR="008C6F2C" w:rsidRPr="00DC478F" w:rsidRDefault="008C6F2C" w:rsidP="00DC478F">
      <w:pPr>
        <w:tabs>
          <w:tab w:val="right" w:pos="10800"/>
        </w:tabs>
        <w:rPr>
          <w:rFonts w:ascii="Times New Roman" w:hAnsi="Times New Roman"/>
          <w:sz w:val="21"/>
          <w:szCs w:val="22"/>
        </w:rPr>
      </w:pPr>
      <w:r w:rsidRPr="00DC478F">
        <w:rPr>
          <w:rFonts w:ascii="Times New Roman" w:hAnsi="Times New Roman"/>
          <w:sz w:val="21"/>
          <w:szCs w:val="22"/>
        </w:rPr>
        <w:tab/>
      </w:r>
    </w:p>
    <w:p w:rsidR="008C6F2C" w:rsidRDefault="008C6F2C">
      <w:pPr>
        <w:widowControl/>
        <w:suppressAutoHyphens w:val="0"/>
        <w:rPr>
          <w:rFonts w:ascii="Times New Roman" w:hAnsi="Times New Roman"/>
          <w:b/>
          <w:sz w:val="21"/>
          <w:szCs w:val="22"/>
        </w:rPr>
      </w:pPr>
      <w:r>
        <w:rPr>
          <w:rFonts w:ascii="Times New Roman" w:hAnsi="Times New Roman"/>
          <w:b/>
          <w:sz w:val="21"/>
          <w:szCs w:val="22"/>
        </w:rPr>
        <w:br w:type="page"/>
      </w:r>
    </w:p>
    <w:p w:rsidR="008C6F2C" w:rsidRDefault="008C6F2C" w:rsidP="00902D1C">
      <w:pPr>
        <w:tabs>
          <w:tab w:val="right" w:pos="10800"/>
        </w:tabs>
        <w:rPr>
          <w:rFonts w:ascii="Times New Roman" w:hAnsi="Times New Roman"/>
          <w:sz w:val="21"/>
          <w:szCs w:val="22"/>
        </w:rPr>
      </w:pPr>
      <w:r w:rsidRPr="00227641">
        <w:rPr>
          <w:rFonts w:ascii="Times New Roman" w:hAnsi="Times New Roman"/>
          <w:noProof/>
          <w:sz w:val="21"/>
          <w:szCs w:val="22"/>
        </w:rPr>
        <w:lastRenderedPageBreak/>
        <w:t>Stacey</w:t>
      </w:r>
      <w:r>
        <w:rPr>
          <w:rFonts w:ascii="Times New Roman" w:hAnsi="Times New Roman"/>
          <w:sz w:val="21"/>
          <w:szCs w:val="22"/>
        </w:rPr>
        <w:t xml:space="preserve"> </w:t>
      </w:r>
      <w:r w:rsidRPr="00227641">
        <w:rPr>
          <w:rFonts w:ascii="Times New Roman" w:hAnsi="Times New Roman"/>
          <w:noProof/>
          <w:sz w:val="21"/>
          <w:szCs w:val="22"/>
        </w:rPr>
        <w:t>Subbie-Saenz de Viteri</w:t>
      </w:r>
      <w:r w:rsidRPr="00DC478F">
        <w:rPr>
          <w:rFonts w:ascii="Times New Roman" w:hAnsi="Times New Roman"/>
          <w:sz w:val="21"/>
          <w:szCs w:val="22"/>
        </w:rPr>
        <w:tab/>
        <w:t>Advisor(s):</w:t>
      </w:r>
      <w:r>
        <w:rPr>
          <w:rFonts w:ascii="Times New Roman" w:hAnsi="Times New Roman"/>
          <w:sz w:val="21"/>
          <w:szCs w:val="22"/>
        </w:rPr>
        <w:t xml:space="preserve"> </w:t>
      </w:r>
      <w:r w:rsidRPr="00227641">
        <w:rPr>
          <w:rFonts w:ascii="Times New Roman" w:hAnsi="Times New Roman"/>
          <w:noProof/>
          <w:sz w:val="21"/>
          <w:szCs w:val="22"/>
        </w:rPr>
        <w:t>Jacquelyn</w:t>
      </w:r>
      <w:r>
        <w:rPr>
          <w:rFonts w:ascii="Times New Roman" w:hAnsi="Times New Roman"/>
          <w:sz w:val="21"/>
          <w:szCs w:val="22"/>
        </w:rPr>
        <w:t xml:space="preserve"> </w:t>
      </w:r>
      <w:r w:rsidRPr="00227641">
        <w:rPr>
          <w:rFonts w:ascii="Times New Roman" w:hAnsi="Times New Roman"/>
          <w:noProof/>
          <w:sz w:val="21"/>
          <w:szCs w:val="22"/>
        </w:rPr>
        <w:t>Meyers</w:t>
      </w:r>
    </w:p>
    <w:p w:rsidR="008C6F2C" w:rsidRDefault="008C6F2C" w:rsidP="00902D1C">
      <w:pPr>
        <w:tabs>
          <w:tab w:val="right" w:pos="10800"/>
        </w:tabs>
        <w:rPr>
          <w:rFonts w:ascii="Times New Roman" w:hAnsi="Times New Roman"/>
          <w:sz w:val="21"/>
          <w:szCs w:val="22"/>
        </w:rPr>
      </w:pPr>
    </w:p>
    <w:p w:rsidR="008C6F2C" w:rsidRPr="00B37331" w:rsidRDefault="008C6F2C" w:rsidP="00B37331">
      <w:pPr>
        <w:tabs>
          <w:tab w:val="right" w:pos="10800"/>
        </w:tabs>
        <w:jc w:val="center"/>
        <w:rPr>
          <w:rFonts w:ascii="Times New Roman" w:hAnsi="Times New Roman"/>
          <w:b/>
          <w:sz w:val="21"/>
          <w:szCs w:val="22"/>
        </w:rPr>
      </w:pPr>
      <w:r w:rsidRPr="00227641">
        <w:rPr>
          <w:rFonts w:ascii="Times New Roman" w:hAnsi="Times New Roman"/>
          <w:b/>
          <w:noProof/>
          <w:sz w:val="21"/>
          <w:szCs w:val="22"/>
        </w:rPr>
        <w:t>The Role of Trauma, Familial and Polygenic Risk for Alcohol Dependence on Post-Traumatic Stress Disorder and Executive Functioning in Adolescence and Young Adulthood</w:t>
      </w:r>
    </w:p>
    <w:p w:rsidR="008C6F2C" w:rsidRDefault="008C6F2C" w:rsidP="00902D1C">
      <w:pPr>
        <w:tabs>
          <w:tab w:val="right" w:pos="10800"/>
        </w:tabs>
        <w:rPr>
          <w:rFonts w:ascii="Times New Roman" w:hAnsi="Times New Roman"/>
          <w:sz w:val="21"/>
          <w:szCs w:val="22"/>
        </w:rPr>
      </w:pPr>
    </w:p>
    <w:p w:rsidR="008C6F2C" w:rsidRPr="00055FEF" w:rsidRDefault="008C6F2C" w:rsidP="00B37331">
      <w:pPr>
        <w:tabs>
          <w:tab w:val="right" w:pos="10800"/>
        </w:tabs>
        <w:rPr>
          <w:rFonts w:ascii="Times New Roman" w:hAnsi="Times New Roman"/>
          <w:b/>
          <w:sz w:val="21"/>
          <w:szCs w:val="22"/>
        </w:rPr>
      </w:pPr>
      <w:r w:rsidRPr="00227641">
        <w:rPr>
          <w:rFonts w:ascii="Times New Roman" w:hAnsi="Times New Roman"/>
          <w:noProof/>
          <w:sz w:val="21"/>
          <w:szCs w:val="22"/>
        </w:rPr>
        <w:t>Those with a family history of alcohol dependence (AD) are more likely to experience traumatic events, post-traumatic stress disorder (PTSD), and AD, all of which have independently been shown to adversely affect planning and problem-solving aspects of executive function. Despite higher incidence of comorbid AD found in individuals with PTSD, few studies have examined these risk factors together. Using data from the Collaborative Study on the Genetics of Alcoholism (COGA) prospective cohort (N=3910), we investigated associations of (1) trauma exposure (assaultive, nonassaultive, and sexual assaultive), (2) family history density of AD (FHD), and (3) polygenic risk scores (PRS) derived from a recent Psychiatric Genomics Consortium (PGC) GWAS of DSMIV AD on (1) PTSD, AD, and comorbid PTSD/AD, and (2) planning and problem-solving ability assessed using the Tower of London test. The PGC AD PRS (p-threshold&lt;0.05) provided genomic support for the associations observed among FHD and PTSD, AD, and PTSD/AD (p&lt;0.001). Assaultive trauma moderated the association of the AD PRS (p-threshold&lt;10-4) with PTSD and PTSD/AD (p&lt;0.05) and not with AD. Assaultive trauma was associated with poor planning and problem solving (p&lt;0.01). The AD PRS (p-threshold&lt;0.05) was associated with poor problem solving (p&lt;0.05), which was moderated by assaultive (p&lt;0.05) and non-assaultive (p&lt;0.01) trauma. These findings suggest that familial and genetic risk for AD and exposure to trauma influence both risk for PTSD and AD, as well as planning and problem solving.</w:t>
      </w:r>
    </w:p>
    <w:p w:rsidR="008C6F2C" w:rsidRDefault="008C6F2C" w:rsidP="00902D1C">
      <w:pPr>
        <w:tabs>
          <w:tab w:val="right" w:pos="10800"/>
        </w:tabs>
        <w:rPr>
          <w:rFonts w:ascii="Times New Roman" w:hAnsi="Times New Roman"/>
          <w:sz w:val="21"/>
          <w:szCs w:val="22"/>
        </w:rPr>
      </w:pPr>
    </w:p>
    <w:p w:rsidR="008C6F2C" w:rsidRPr="00DC478F" w:rsidRDefault="008C6F2C" w:rsidP="00902D1C">
      <w:pPr>
        <w:tabs>
          <w:tab w:val="right" w:pos="10800"/>
        </w:tabs>
        <w:rPr>
          <w:rFonts w:ascii="Times New Roman" w:hAnsi="Times New Roman"/>
          <w:sz w:val="21"/>
          <w:szCs w:val="22"/>
        </w:rPr>
      </w:pPr>
    </w:p>
    <w:p w:rsidR="008C6F2C" w:rsidRPr="00DC478F" w:rsidRDefault="008C6F2C" w:rsidP="00DC478F">
      <w:pPr>
        <w:tabs>
          <w:tab w:val="right" w:pos="10800"/>
        </w:tabs>
        <w:rPr>
          <w:rFonts w:ascii="Times New Roman" w:hAnsi="Times New Roman"/>
          <w:sz w:val="21"/>
          <w:szCs w:val="22"/>
        </w:rPr>
      </w:pPr>
      <w:r w:rsidRPr="00DC478F">
        <w:rPr>
          <w:rFonts w:ascii="Times New Roman" w:hAnsi="Times New Roman"/>
          <w:sz w:val="21"/>
          <w:szCs w:val="22"/>
        </w:rPr>
        <w:tab/>
      </w:r>
    </w:p>
    <w:p w:rsidR="008C6F2C" w:rsidRPr="002F6585" w:rsidRDefault="008C6F2C" w:rsidP="00E7279B">
      <w:pPr>
        <w:jc w:val="center"/>
        <w:rPr>
          <w:rFonts w:ascii="Times New Roman" w:hAnsi="Times New Roman"/>
          <w:b/>
          <w:sz w:val="21"/>
          <w:szCs w:val="22"/>
        </w:rPr>
      </w:pPr>
    </w:p>
    <w:p w:rsidR="008C6F2C" w:rsidRDefault="008C6F2C" w:rsidP="006672AE">
      <w:pPr>
        <w:rPr>
          <w:rFonts w:ascii="Times New Roman" w:hAnsi="Times New Roman"/>
          <w:sz w:val="21"/>
          <w:szCs w:val="22"/>
        </w:rPr>
      </w:pPr>
    </w:p>
    <w:p w:rsidR="008C6F2C" w:rsidRPr="00DC478F" w:rsidRDefault="008C6F2C" w:rsidP="006672AE">
      <w:pPr>
        <w:rPr>
          <w:rFonts w:ascii="Times New Roman" w:hAnsi="Times New Roman"/>
          <w:sz w:val="21"/>
          <w:szCs w:val="22"/>
        </w:rPr>
      </w:pPr>
    </w:p>
    <w:p w:rsidR="008C6F2C" w:rsidRDefault="008C6F2C" w:rsidP="0090102C">
      <w:pPr>
        <w:jc w:val="both"/>
        <w:rPr>
          <w:rFonts w:ascii="Times New Roman" w:hAnsi="Times New Roman"/>
          <w:sz w:val="21"/>
          <w:szCs w:val="22"/>
        </w:rPr>
        <w:sectPr w:rsidR="008C6F2C" w:rsidSect="008C6F2C">
          <w:headerReference w:type="even" r:id="rId32"/>
          <w:headerReference w:type="default" r:id="rId33"/>
          <w:footerReference w:type="even" r:id="rId34"/>
          <w:footerReference w:type="default" r:id="rId35"/>
          <w:headerReference w:type="first" r:id="rId36"/>
          <w:footerReference w:type="first" r:id="rId37"/>
          <w:footnotePr>
            <w:pos w:val="beneathText"/>
          </w:footnotePr>
          <w:pgSz w:w="12240" w:h="7920" w:code="1"/>
          <w:pgMar w:top="720" w:right="720" w:bottom="720" w:left="720" w:header="720" w:footer="172" w:gutter="0"/>
          <w:pgNumType w:start="1"/>
          <w:cols w:space="720"/>
          <w:docGrid w:linePitch="360"/>
        </w:sectPr>
      </w:pPr>
    </w:p>
    <w:p w:rsidR="008C6F2C" w:rsidRDefault="008C6F2C" w:rsidP="00902D1C">
      <w:pPr>
        <w:tabs>
          <w:tab w:val="right" w:pos="10800"/>
        </w:tabs>
        <w:rPr>
          <w:rFonts w:ascii="Times New Roman" w:hAnsi="Times New Roman"/>
          <w:sz w:val="21"/>
          <w:szCs w:val="22"/>
        </w:rPr>
      </w:pPr>
      <w:r w:rsidRPr="00227641">
        <w:rPr>
          <w:rFonts w:ascii="Times New Roman" w:hAnsi="Times New Roman"/>
          <w:noProof/>
          <w:sz w:val="21"/>
          <w:szCs w:val="22"/>
        </w:rPr>
        <w:t>Kristen</w:t>
      </w:r>
      <w:r>
        <w:rPr>
          <w:rFonts w:ascii="Times New Roman" w:hAnsi="Times New Roman"/>
          <w:sz w:val="21"/>
          <w:szCs w:val="22"/>
        </w:rPr>
        <w:t xml:space="preserve"> </w:t>
      </w:r>
      <w:r w:rsidRPr="00227641">
        <w:rPr>
          <w:rFonts w:ascii="Times New Roman" w:hAnsi="Times New Roman"/>
          <w:noProof/>
          <w:sz w:val="21"/>
          <w:szCs w:val="22"/>
        </w:rPr>
        <w:t>Whitney</w:t>
      </w:r>
      <w:r w:rsidRPr="00DC478F">
        <w:rPr>
          <w:rFonts w:ascii="Times New Roman" w:hAnsi="Times New Roman"/>
          <w:sz w:val="21"/>
          <w:szCs w:val="22"/>
        </w:rPr>
        <w:tab/>
        <w:t>Advisor(s):</w:t>
      </w:r>
      <w:r>
        <w:rPr>
          <w:rFonts w:ascii="Times New Roman" w:hAnsi="Times New Roman"/>
          <w:sz w:val="21"/>
          <w:szCs w:val="22"/>
        </w:rPr>
        <w:t xml:space="preserve"> </w:t>
      </w:r>
      <w:r w:rsidRPr="00227641">
        <w:rPr>
          <w:rFonts w:ascii="Times New Roman" w:hAnsi="Times New Roman"/>
          <w:noProof/>
          <w:sz w:val="21"/>
          <w:szCs w:val="22"/>
        </w:rPr>
        <w:t>Peter</w:t>
      </w:r>
      <w:r>
        <w:rPr>
          <w:rFonts w:ascii="Times New Roman" w:hAnsi="Times New Roman"/>
          <w:sz w:val="21"/>
          <w:szCs w:val="22"/>
        </w:rPr>
        <w:t xml:space="preserve"> </w:t>
      </w:r>
      <w:r w:rsidRPr="00227641">
        <w:rPr>
          <w:rFonts w:ascii="Times New Roman" w:hAnsi="Times New Roman"/>
          <w:noProof/>
          <w:sz w:val="21"/>
          <w:szCs w:val="22"/>
        </w:rPr>
        <w:t>Bergold</w:t>
      </w:r>
    </w:p>
    <w:p w:rsidR="008C6F2C" w:rsidRDefault="008C6F2C" w:rsidP="00902D1C">
      <w:pPr>
        <w:tabs>
          <w:tab w:val="right" w:pos="10800"/>
        </w:tabs>
        <w:rPr>
          <w:rFonts w:ascii="Times New Roman" w:hAnsi="Times New Roman"/>
          <w:sz w:val="21"/>
          <w:szCs w:val="22"/>
        </w:rPr>
      </w:pPr>
    </w:p>
    <w:p w:rsidR="008C6F2C" w:rsidRPr="00B37331" w:rsidRDefault="008C6F2C" w:rsidP="00B37331">
      <w:pPr>
        <w:tabs>
          <w:tab w:val="right" w:pos="10800"/>
        </w:tabs>
        <w:jc w:val="center"/>
        <w:rPr>
          <w:rFonts w:ascii="Times New Roman" w:hAnsi="Times New Roman"/>
          <w:b/>
          <w:sz w:val="21"/>
          <w:szCs w:val="22"/>
        </w:rPr>
      </w:pPr>
      <w:r w:rsidRPr="00227641">
        <w:rPr>
          <w:rFonts w:ascii="Times New Roman" w:hAnsi="Times New Roman"/>
          <w:b/>
          <w:noProof/>
          <w:sz w:val="21"/>
          <w:szCs w:val="22"/>
        </w:rPr>
        <w:t>Delayed dosing of minocycline plus N-acetylcysteine limits gray matter injury and restores function after experimental TBI</w:t>
      </w:r>
    </w:p>
    <w:p w:rsidR="008C6F2C" w:rsidRDefault="008C6F2C" w:rsidP="00902D1C">
      <w:pPr>
        <w:tabs>
          <w:tab w:val="right" w:pos="10800"/>
        </w:tabs>
        <w:rPr>
          <w:rFonts w:ascii="Times New Roman" w:hAnsi="Times New Roman"/>
          <w:sz w:val="21"/>
          <w:szCs w:val="22"/>
        </w:rPr>
      </w:pPr>
    </w:p>
    <w:p w:rsidR="008C6F2C" w:rsidRPr="00055FEF" w:rsidRDefault="008C6F2C" w:rsidP="00B37331">
      <w:pPr>
        <w:tabs>
          <w:tab w:val="right" w:pos="10800"/>
        </w:tabs>
        <w:rPr>
          <w:rFonts w:ascii="Times New Roman" w:hAnsi="Times New Roman"/>
          <w:b/>
          <w:sz w:val="21"/>
          <w:szCs w:val="22"/>
        </w:rPr>
      </w:pPr>
      <w:r w:rsidRPr="00227641">
        <w:rPr>
          <w:rFonts w:ascii="Times New Roman" w:hAnsi="Times New Roman"/>
          <w:noProof/>
          <w:sz w:val="21"/>
          <w:szCs w:val="22"/>
        </w:rPr>
        <w:t>There are currently no approved drug treatments for traumatic brain injury (TBI). After TBI, treatment may be delayed hours to days after injury due to lack of medical access or perceived symptom resolution. Therefore, a clinically useful drug to treat TBI must retain potency with delayed dosing. We examined the potency of the drug combination minocycline plus N-acetylcysteine first dosed 72 hours after injury (MN72) in a unilateral closed head injury (CHI) mouse model. CHI produces long-term and, likely permanent, impairments on Barnes maze, a spatial navigation task that requires one intact hippocampus. CHI also decreases synaptic density and impairs long term potentiation (LTP) in the hippocampus ipsilateral and contralateral to the impact site. MN72 improves acquisition of Barnes maze, increases synaptic density and restores LTP only in the contralateral hippocampus. In contrast, a first dose of drugs at 12 hours (MN12) post-injury bilaterally restores behavior and LTP. At 14 days post-injury, hippocampal regions CA3 and CA1 have bilateral neuronal loss. Golgi stain analysis of the surviving neurons reveals fewer dendrites with shorter branches and reduced complexity and synaptic fields. In CA1, MN72 bilaterally prevents neuronal loss and prevents dendritic degeneration. MN72 does not prevent CA3 neuronal loss, but protects spared neurons from further dendritic degeneration. These data suggest that (1) CHI produces a diffuse gray matter injury that spreads beyond the initial impact site and (2) MN72 is less potent than MN12, yet MN72 retains potency since there are multiple cellular and synaptic functions that can be targeted with drugs 3 days after injury. Minocycline plus N-acetylcysteine limits gray matter injury and improves cognition and memory when dosed at a clinically relevant therapeutic window, and is an excellent candidate to treat clinical TBI.</w:t>
      </w:r>
    </w:p>
    <w:p w:rsidR="008C6F2C" w:rsidRDefault="008C6F2C" w:rsidP="00902D1C">
      <w:pPr>
        <w:tabs>
          <w:tab w:val="right" w:pos="10800"/>
        </w:tabs>
        <w:rPr>
          <w:rFonts w:ascii="Times New Roman" w:hAnsi="Times New Roman"/>
          <w:sz w:val="21"/>
          <w:szCs w:val="22"/>
        </w:rPr>
      </w:pPr>
    </w:p>
    <w:p w:rsidR="008C6F2C" w:rsidRPr="00DC478F" w:rsidRDefault="008C6F2C" w:rsidP="00902D1C">
      <w:pPr>
        <w:tabs>
          <w:tab w:val="right" w:pos="10800"/>
        </w:tabs>
        <w:rPr>
          <w:rFonts w:ascii="Times New Roman" w:hAnsi="Times New Roman"/>
          <w:sz w:val="21"/>
          <w:szCs w:val="22"/>
        </w:rPr>
      </w:pPr>
    </w:p>
    <w:p w:rsidR="008C6F2C" w:rsidRPr="00DC478F" w:rsidRDefault="008C6F2C" w:rsidP="00DC478F">
      <w:pPr>
        <w:tabs>
          <w:tab w:val="right" w:pos="10800"/>
        </w:tabs>
        <w:rPr>
          <w:rFonts w:ascii="Times New Roman" w:hAnsi="Times New Roman"/>
          <w:sz w:val="21"/>
          <w:szCs w:val="22"/>
        </w:rPr>
      </w:pPr>
      <w:r w:rsidRPr="00DC478F">
        <w:rPr>
          <w:rFonts w:ascii="Times New Roman" w:hAnsi="Times New Roman"/>
          <w:sz w:val="21"/>
          <w:szCs w:val="22"/>
        </w:rPr>
        <w:tab/>
      </w:r>
    </w:p>
    <w:p w:rsidR="008C6F2C" w:rsidRPr="002F6585" w:rsidRDefault="008C6F2C" w:rsidP="00E7279B">
      <w:pPr>
        <w:jc w:val="center"/>
        <w:rPr>
          <w:rFonts w:ascii="Times New Roman" w:hAnsi="Times New Roman"/>
          <w:b/>
          <w:sz w:val="21"/>
          <w:szCs w:val="22"/>
        </w:rPr>
      </w:pPr>
    </w:p>
    <w:sectPr w:rsidR="008C6F2C" w:rsidRPr="002F6585" w:rsidSect="008C6F2C">
      <w:headerReference w:type="even" r:id="rId38"/>
      <w:headerReference w:type="default" r:id="rId39"/>
      <w:footerReference w:type="even" r:id="rId40"/>
      <w:footerReference w:type="default" r:id="rId41"/>
      <w:headerReference w:type="first" r:id="rId42"/>
      <w:footerReference w:type="first" r:id="rId43"/>
      <w:footnotePr>
        <w:pos w:val="beneathText"/>
      </w:footnotePr>
      <w:pgSz w:w="12240" w:h="7920" w:code="1"/>
      <w:pgMar w:top="720" w:right="720" w:bottom="720" w:left="720" w:header="720" w:footer="17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195" w:rsidRDefault="005E3195">
      <w:r>
        <w:separator/>
      </w:r>
    </w:p>
  </w:endnote>
  <w:endnote w:type="continuationSeparator" w:id="0">
    <w:p w:rsidR="005E3195" w:rsidRDefault="005E3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imbus Roman No9 L">
    <w:altName w:val="Times New Roman"/>
    <w:charset w:val="00"/>
    <w:family w:val="roman"/>
    <w:pitch w:val="variable"/>
  </w:font>
  <w:font w:name="DejaVu Sans">
    <w:altName w:val="Arial"/>
    <w:charset w:val="00"/>
    <w:family w:val="swiss"/>
    <w:pitch w:val="variable"/>
    <w:sig w:usb0="00000000" w:usb1="5200FDFF" w:usb2="00042021" w:usb3="00000000" w:csb0="000001BF" w:csb1="00000000"/>
  </w:font>
  <w:font w:name="Nimbus Sans L">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rsidP="00B61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6F2C" w:rsidRDefault="008C6F2C" w:rsidP="00B6111A">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rsidP="00B61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6F2C" w:rsidRDefault="008C6F2C" w:rsidP="00B6111A">
    <w:pPr>
      <w:pStyle w:val="Footer"/>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Footer"/>
    </w:pPr>
  </w:p>
  <w:p w:rsidR="008C6F2C" w:rsidRDefault="008C6F2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rsidP="00B61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6F2C" w:rsidRDefault="008C6F2C" w:rsidP="00B6111A">
    <w:pPr>
      <w:pStyle w:val="Footer"/>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Footer"/>
    </w:pPr>
  </w:p>
  <w:p w:rsidR="008C6F2C" w:rsidRDefault="008C6F2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85" w:rsidRDefault="002F6585" w:rsidP="00B61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7331">
      <w:rPr>
        <w:rStyle w:val="PageNumber"/>
        <w:noProof/>
      </w:rPr>
      <w:t>1</w:t>
    </w:r>
    <w:r>
      <w:rPr>
        <w:rStyle w:val="PageNumber"/>
      </w:rPr>
      <w:fldChar w:fldCharType="end"/>
    </w:r>
  </w:p>
  <w:p w:rsidR="002F6585" w:rsidRDefault="002F6585" w:rsidP="00B6111A">
    <w:pPr>
      <w:pStyle w:val="Footer"/>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85" w:rsidRDefault="002F6585">
    <w:pPr>
      <w:pStyle w:val="Footer"/>
    </w:pPr>
  </w:p>
  <w:p w:rsidR="002F6585" w:rsidRDefault="002F658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3A" w:rsidRDefault="009F2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Footer"/>
    </w:pPr>
  </w:p>
  <w:p w:rsidR="008C6F2C" w:rsidRDefault="008C6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rsidP="00B61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6F2C" w:rsidRDefault="008C6F2C" w:rsidP="00B6111A">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Footer"/>
    </w:pPr>
  </w:p>
  <w:p w:rsidR="008C6F2C" w:rsidRDefault="008C6F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rsidP="00B611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6F2C" w:rsidRDefault="008C6F2C" w:rsidP="00B6111A">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Footer"/>
    </w:pPr>
  </w:p>
  <w:p w:rsidR="008C6F2C" w:rsidRDefault="008C6F2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195" w:rsidRDefault="005E3195">
      <w:r>
        <w:separator/>
      </w:r>
    </w:p>
  </w:footnote>
  <w:footnote w:type="continuationSeparator" w:id="0">
    <w:p w:rsidR="005E3195" w:rsidRDefault="005E3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Header"/>
      <w:jc w:val="center"/>
      <w:rPr>
        <w:rStyle w:val="PageNumber"/>
        <w:rFonts w:ascii="Times New Roman" w:hAnsi="Times New Roman"/>
        <w:sz w:val="18"/>
        <w:szCs w:val="18"/>
      </w:rPr>
    </w:pPr>
    <w:r>
      <w:rPr>
        <w:rFonts w:ascii="Times New Roman" w:hAnsi="Times New Roman" w:cs="DejaVu Sans"/>
        <w:i/>
        <w:sz w:val="18"/>
        <w:szCs w:val="18"/>
        <w:u w:val="single"/>
      </w:rPr>
      <w:t>Annual Research Day –April 17, 2019</w:t>
    </w:r>
    <w:r>
      <w:rPr>
        <w:rFonts w:ascii="Times New Roman" w:hAnsi="Times New Roman" w:cs="DejaVu Sans"/>
        <w:i/>
        <w:sz w:val="18"/>
        <w:szCs w:val="18"/>
        <w:u w:val="single"/>
      </w:rPr>
      <w:tab/>
      <w:t xml:space="preserve">Platform Presentations </w:t>
    </w:r>
  </w:p>
  <w:p w:rsidR="008C6F2C" w:rsidRDefault="008C6F2C">
    <w:pPr>
      <w:pStyle w:val="Header"/>
      <w:jc w:val="center"/>
      <w:rPr>
        <w:rFonts w:ascii="Times New Roman" w:hAnsi="Times New Roman" w:cs="DejaVu Sans"/>
        <w:i/>
        <w:sz w:val="18"/>
        <w:szCs w:val="18"/>
        <w:u w:val="singl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Header"/>
      <w:jc w:val="center"/>
      <w:rPr>
        <w:rStyle w:val="PageNumber"/>
        <w:rFonts w:ascii="Times New Roman" w:hAnsi="Times New Roman"/>
        <w:sz w:val="18"/>
        <w:szCs w:val="18"/>
      </w:rPr>
    </w:pPr>
    <w:r>
      <w:rPr>
        <w:rFonts w:ascii="Times New Roman" w:hAnsi="Times New Roman" w:cs="DejaVu Sans"/>
        <w:i/>
        <w:sz w:val="18"/>
        <w:szCs w:val="18"/>
        <w:u w:val="single"/>
      </w:rPr>
      <w:t>Annual Research Day –April 17, 2019</w:t>
    </w:r>
    <w:r>
      <w:rPr>
        <w:rFonts w:ascii="Times New Roman" w:hAnsi="Times New Roman" w:cs="DejaVu Sans"/>
        <w:i/>
        <w:sz w:val="18"/>
        <w:szCs w:val="18"/>
        <w:u w:val="single"/>
      </w:rPr>
      <w:tab/>
      <w:t xml:space="preserve">Platform Presentations </w:t>
    </w:r>
  </w:p>
  <w:p w:rsidR="008C6F2C" w:rsidRDefault="008C6F2C">
    <w:pPr>
      <w:pStyle w:val="Header"/>
      <w:jc w:val="center"/>
      <w:rPr>
        <w:rFonts w:ascii="Times New Roman" w:hAnsi="Times New Roman" w:cs="DejaVu Sans"/>
        <w:i/>
        <w:sz w:val="18"/>
        <w:szCs w:val="18"/>
        <w:u w:val="single"/>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3A" w:rsidRDefault="009F20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585" w:rsidRDefault="002F6585">
    <w:pPr>
      <w:pStyle w:val="Header"/>
      <w:jc w:val="center"/>
      <w:rPr>
        <w:rStyle w:val="PageNumber"/>
        <w:rFonts w:ascii="Times New Roman" w:hAnsi="Times New Roman"/>
        <w:sz w:val="18"/>
        <w:szCs w:val="18"/>
      </w:rPr>
    </w:pPr>
    <w:r>
      <w:rPr>
        <w:rFonts w:ascii="Times New Roman" w:hAnsi="Times New Roman" w:cs="DejaVu Sans"/>
        <w:i/>
        <w:sz w:val="18"/>
        <w:szCs w:val="18"/>
        <w:u w:val="single"/>
      </w:rPr>
      <w:t>Annual Research Day –April 1</w:t>
    </w:r>
    <w:r w:rsidR="009F203A">
      <w:rPr>
        <w:rFonts w:ascii="Times New Roman" w:hAnsi="Times New Roman" w:cs="DejaVu Sans"/>
        <w:i/>
        <w:sz w:val="18"/>
        <w:szCs w:val="18"/>
        <w:u w:val="single"/>
      </w:rPr>
      <w:t>7</w:t>
    </w:r>
    <w:r>
      <w:rPr>
        <w:rFonts w:ascii="Times New Roman" w:hAnsi="Times New Roman" w:cs="DejaVu Sans"/>
        <w:i/>
        <w:sz w:val="18"/>
        <w:szCs w:val="18"/>
        <w:u w:val="single"/>
      </w:rPr>
      <w:t>, 201</w:t>
    </w:r>
    <w:r w:rsidR="009F203A">
      <w:rPr>
        <w:rFonts w:ascii="Times New Roman" w:hAnsi="Times New Roman" w:cs="DejaVu Sans"/>
        <w:i/>
        <w:sz w:val="18"/>
        <w:szCs w:val="18"/>
        <w:u w:val="single"/>
      </w:rPr>
      <w:t>9</w:t>
    </w:r>
    <w:r>
      <w:rPr>
        <w:rFonts w:ascii="Times New Roman" w:hAnsi="Times New Roman" w:cs="DejaVu Sans"/>
        <w:i/>
        <w:sz w:val="18"/>
        <w:szCs w:val="18"/>
        <w:u w:val="single"/>
      </w:rPr>
      <w:tab/>
      <w:t xml:space="preserve">Platform Presentations </w:t>
    </w:r>
  </w:p>
  <w:p w:rsidR="002F6585" w:rsidRDefault="002F6585">
    <w:pPr>
      <w:pStyle w:val="Header"/>
      <w:jc w:val="center"/>
      <w:rPr>
        <w:rFonts w:ascii="Times New Roman" w:hAnsi="Times New Roman" w:cs="DejaVu Sans"/>
        <w:i/>
        <w:sz w:val="18"/>
        <w:szCs w:val="18"/>
        <w:u w:val="single"/>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3A" w:rsidRDefault="009F2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Header"/>
      <w:jc w:val="center"/>
      <w:rPr>
        <w:rStyle w:val="PageNumber"/>
        <w:rFonts w:ascii="Times New Roman" w:hAnsi="Times New Roman"/>
        <w:sz w:val="18"/>
        <w:szCs w:val="18"/>
      </w:rPr>
    </w:pPr>
    <w:r>
      <w:rPr>
        <w:rFonts w:ascii="Times New Roman" w:hAnsi="Times New Roman" w:cs="DejaVu Sans"/>
        <w:i/>
        <w:sz w:val="18"/>
        <w:szCs w:val="18"/>
        <w:u w:val="single"/>
      </w:rPr>
      <w:t>Annual Research Day –April 17, 2019</w:t>
    </w:r>
    <w:r>
      <w:rPr>
        <w:rFonts w:ascii="Times New Roman" w:hAnsi="Times New Roman" w:cs="DejaVu Sans"/>
        <w:i/>
        <w:sz w:val="18"/>
        <w:szCs w:val="18"/>
        <w:u w:val="single"/>
      </w:rPr>
      <w:tab/>
      <w:t xml:space="preserve">Platform Presentations </w:t>
    </w:r>
  </w:p>
  <w:p w:rsidR="008C6F2C" w:rsidRDefault="008C6F2C">
    <w:pPr>
      <w:pStyle w:val="Header"/>
      <w:jc w:val="center"/>
      <w:rPr>
        <w:rFonts w:ascii="Times New Roman" w:hAnsi="Times New Roman" w:cs="DejaVu Sans"/>
        <w:i/>
        <w:sz w:val="18"/>
        <w:szCs w:val="18"/>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Header"/>
      <w:jc w:val="center"/>
      <w:rPr>
        <w:rStyle w:val="PageNumber"/>
        <w:rFonts w:ascii="Times New Roman" w:hAnsi="Times New Roman"/>
        <w:sz w:val="18"/>
        <w:szCs w:val="18"/>
      </w:rPr>
    </w:pPr>
    <w:r>
      <w:rPr>
        <w:rFonts w:ascii="Times New Roman" w:hAnsi="Times New Roman" w:cs="DejaVu Sans"/>
        <w:i/>
        <w:sz w:val="18"/>
        <w:szCs w:val="18"/>
        <w:u w:val="single"/>
      </w:rPr>
      <w:t>Annual Research Day –April 17, 2019</w:t>
    </w:r>
    <w:r>
      <w:rPr>
        <w:rFonts w:ascii="Times New Roman" w:hAnsi="Times New Roman" w:cs="DejaVu Sans"/>
        <w:i/>
        <w:sz w:val="18"/>
        <w:szCs w:val="18"/>
        <w:u w:val="single"/>
      </w:rPr>
      <w:tab/>
      <w:t xml:space="preserve">Platform Presentations </w:t>
    </w:r>
  </w:p>
  <w:p w:rsidR="008C6F2C" w:rsidRDefault="008C6F2C">
    <w:pPr>
      <w:pStyle w:val="Header"/>
      <w:jc w:val="center"/>
      <w:rPr>
        <w:rFonts w:ascii="Times New Roman" w:hAnsi="Times New Roman" w:cs="DejaVu Sans"/>
        <w:i/>
        <w:sz w:val="18"/>
        <w:szCs w:val="18"/>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Header"/>
      <w:jc w:val="center"/>
      <w:rPr>
        <w:rStyle w:val="PageNumber"/>
        <w:rFonts w:ascii="Times New Roman" w:hAnsi="Times New Roman"/>
        <w:sz w:val="18"/>
        <w:szCs w:val="18"/>
      </w:rPr>
    </w:pPr>
    <w:r>
      <w:rPr>
        <w:rFonts w:ascii="Times New Roman" w:hAnsi="Times New Roman" w:cs="DejaVu Sans"/>
        <w:i/>
        <w:sz w:val="18"/>
        <w:szCs w:val="18"/>
        <w:u w:val="single"/>
      </w:rPr>
      <w:t>Annual Research Day –April 17, 2019</w:t>
    </w:r>
    <w:r>
      <w:rPr>
        <w:rFonts w:ascii="Times New Roman" w:hAnsi="Times New Roman" w:cs="DejaVu Sans"/>
        <w:i/>
        <w:sz w:val="18"/>
        <w:szCs w:val="18"/>
        <w:u w:val="single"/>
      </w:rPr>
      <w:tab/>
      <w:t xml:space="preserve">Platform Presentations </w:t>
    </w:r>
  </w:p>
  <w:p w:rsidR="008C6F2C" w:rsidRDefault="008C6F2C">
    <w:pPr>
      <w:pStyle w:val="Header"/>
      <w:jc w:val="center"/>
      <w:rPr>
        <w:rFonts w:ascii="Times New Roman" w:hAnsi="Times New Roman" w:cs="DejaVu Sans"/>
        <w:i/>
        <w:sz w:val="18"/>
        <w:szCs w:val="18"/>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F2C" w:rsidRDefault="008C6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9"/>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printTwoOnOne/>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C1"/>
    <w:rsid w:val="00004A56"/>
    <w:rsid w:val="00010AFA"/>
    <w:rsid w:val="000121DF"/>
    <w:rsid w:val="00023B1C"/>
    <w:rsid w:val="00024310"/>
    <w:rsid w:val="00031B70"/>
    <w:rsid w:val="000366C1"/>
    <w:rsid w:val="00041C81"/>
    <w:rsid w:val="00054793"/>
    <w:rsid w:val="00055FEF"/>
    <w:rsid w:val="00057EB1"/>
    <w:rsid w:val="00062359"/>
    <w:rsid w:val="00062611"/>
    <w:rsid w:val="00070715"/>
    <w:rsid w:val="000761BA"/>
    <w:rsid w:val="000819F7"/>
    <w:rsid w:val="00081BF7"/>
    <w:rsid w:val="00087391"/>
    <w:rsid w:val="00095290"/>
    <w:rsid w:val="000A31E1"/>
    <w:rsid w:val="000A6998"/>
    <w:rsid w:val="000C3066"/>
    <w:rsid w:val="000E3076"/>
    <w:rsid w:val="000E6855"/>
    <w:rsid w:val="000E79BC"/>
    <w:rsid w:val="000E7BAA"/>
    <w:rsid w:val="000E7E1D"/>
    <w:rsid w:val="000F37C9"/>
    <w:rsid w:val="000F42EB"/>
    <w:rsid w:val="00100C67"/>
    <w:rsid w:val="00105220"/>
    <w:rsid w:val="00105599"/>
    <w:rsid w:val="001058BD"/>
    <w:rsid w:val="00120B88"/>
    <w:rsid w:val="00122ADC"/>
    <w:rsid w:val="001501EB"/>
    <w:rsid w:val="00151F95"/>
    <w:rsid w:val="0016024A"/>
    <w:rsid w:val="00171F6B"/>
    <w:rsid w:val="001740AF"/>
    <w:rsid w:val="00182A0F"/>
    <w:rsid w:val="00185829"/>
    <w:rsid w:val="001873CB"/>
    <w:rsid w:val="0019012A"/>
    <w:rsid w:val="00190734"/>
    <w:rsid w:val="00192298"/>
    <w:rsid w:val="001A33E7"/>
    <w:rsid w:val="001A5756"/>
    <w:rsid w:val="001B1F2B"/>
    <w:rsid w:val="001E76EC"/>
    <w:rsid w:val="001F3749"/>
    <w:rsid w:val="002048CF"/>
    <w:rsid w:val="00212EFD"/>
    <w:rsid w:val="00214E4D"/>
    <w:rsid w:val="0022055A"/>
    <w:rsid w:val="002215E0"/>
    <w:rsid w:val="00221AE2"/>
    <w:rsid w:val="002353B2"/>
    <w:rsid w:val="0024312E"/>
    <w:rsid w:val="00244793"/>
    <w:rsid w:val="00245C74"/>
    <w:rsid w:val="002632DD"/>
    <w:rsid w:val="00270FAF"/>
    <w:rsid w:val="00277260"/>
    <w:rsid w:val="002A4595"/>
    <w:rsid w:val="002A646F"/>
    <w:rsid w:val="002B0D0C"/>
    <w:rsid w:val="002B0F70"/>
    <w:rsid w:val="002B5685"/>
    <w:rsid w:val="002B5D0B"/>
    <w:rsid w:val="002C44BD"/>
    <w:rsid w:val="002C52B9"/>
    <w:rsid w:val="002C62C2"/>
    <w:rsid w:val="002C7CEA"/>
    <w:rsid w:val="002D5961"/>
    <w:rsid w:val="002D5EDB"/>
    <w:rsid w:val="002E3FA8"/>
    <w:rsid w:val="002E442E"/>
    <w:rsid w:val="002F6585"/>
    <w:rsid w:val="00321EB3"/>
    <w:rsid w:val="0033305A"/>
    <w:rsid w:val="003351F5"/>
    <w:rsid w:val="00345B1B"/>
    <w:rsid w:val="003617FB"/>
    <w:rsid w:val="003634C2"/>
    <w:rsid w:val="00364A4A"/>
    <w:rsid w:val="003715D7"/>
    <w:rsid w:val="0038342A"/>
    <w:rsid w:val="00391B2A"/>
    <w:rsid w:val="00392339"/>
    <w:rsid w:val="0039291A"/>
    <w:rsid w:val="003A3373"/>
    <w:rsid w:val="003A581E"/>
    <w:rsid w:val="003B0D5A"/>
    <w:rsid w:val="003C5134"/>
    <w:rsid w:val="003C5A2C"/>
    <w:rsid w:val="003E03BE"/>
    <w:rsid w:val="003E7893"/>
    <w:rsid w:val="0040399C"/>
    <w:rsid w:val="00425039"/>
    <w:rsid w:val="00427843"/>
    <w:rsid w:val="00431C9E"/>
    <w:rsid w:val="00440397"/>
    <w:rsid w:val="004457E6"/>
    <w:rsid w:val="00451E9D"/>
    <w:rsid w:val="00457254"/>
    <w:rsid w:val="00457BB4"/>
    <w:rsid w:val="00467662"/>
    <w:rsid w:val="00481597"/>
    <w:rsid w:val="00493F7A"/>
    <w:rsid w:val="004C248F"/>
    <w:rsid w:val="004C3143"/>
    <w:rsid w:val="004E7EBD"/>
    <w:rsid w:val="00512A7D"/>
    <w:rsid w:val="005204F2"/>
    <w:rsid w:val="00536E7B"/>
    <w:rsid w:val="00540B1E"/>
    <w:rsid w:val="00546787"/>
    <w:rsid w:val="0055112B"/>
    <w:rsid w:val="005515BF"/>
    <w:rsid w:val="00553216"/>
    <w:rsid w:val="00565C3D"/>
    <w:rsid w:val="005764AF"/>
    <w:rsid w:val="00576CEE"/>
    <w:rsid w:val="0058136B"/>
    <w:rsid w:val="0058192A"/>
    <w:rsid w:val="00590351"/>
    <w:rsid w:val="005A05D9"/>
    <w:rsid w:val="005A5F8A"/>
    <w:rsid w:val="005E3195"/>
    <w:rsid w:val="005E5E6E"/>
    <w:rsid w:val="005F0B14"/>
    <w:rsid w:val="005F2DA4"/>
    <w:rsid w:val="00604208"/>
    <w:rsid w:val="00625F78"/>
    <w:rsid w:val="006432C0"/>
    <w:rsid w:val="00643E0A"/>
    <w:rsid w:val="00646442"/>
    <w:rsid w:val="00651EB1"/>
    <w:rsid w:val="00653A1F"/>
    <w:rsid w:val="0065732D"/>
    <w:rsid w:val="00657894"/>
    <w:rsid w:val="006628C2"/>
    <w:rsid w:val="006672AE"/>
    <w:rsid w:val="006676A2"/>
    <w:rsid w:val="00675271"/>
    <w:rsid w:val="00682CBE"/>
    <w:rsid w:val="00683F7D"/>
    <w:rsid w:val="006858A6"/>
    <w:rsid w:val="00685EC4"/>
    <w:rsid w:val="00692AE7"/>
    <w:rsid w:val="006957ED"/>
    <w:rsid w:val="006A3DB6"/>
    <w:rsid w:val="006A41B2"/>
    <w:rsid w:val="006A4F6B"/>
    <w:rsid w:val="006A5C0B"/>
    <w:rsid w:val="006A7292"/>
    <w:rsid w:val="006B7114"/>
    <w:rsid w:val="006B72DA"/>
    <w:rsid w:val="006C1095"/>
    <w:rsid w:val="006D270A"/>
    <w:rsid w:val="006D7444"/>
    <w:rsid w:val="006E0131"/>
    <w:rsid w:val="006E22F0"/>
    <w:rsid w:val="006E2CC5"/>
    <w:rsid w:val="006E6936"/>
    <w:rsid w:val="00700860"/>
    <w:rsid w:val="00702FC4"/>
    <w:rsid w:val="007077A4"/>
    <w:rsid w:val="007159D1"/>
    <w:rsid w:val="00716B75"/>
    <w:rsid w:val="0071776A"/>
    <w:rsid w:val="00720F91"/>
    <w:rsid w:val="00732BF8"/>
    <w:rsid w:val="007335BE"/>
    <w:rsid w:val="007367EE"/>
    <w:rsid w:val="0074169B"/>
    <w:rsid w:val="00746478"/>
    <w:rsid w:val="007552D5"/>
    <w:rsid w:val="0075589F"/>
    <w:rsid w:val="00763F38"/>
    <w:rsid w:val="007657BE"/>
    <w:rsid w:val="00777FCB"/>
    <w:rsid w:val="007802A4"/>
    <w:rsid w:val="007828A9"/>
    <w:rsid w:val="0078324F"/>
    <w:rsid w:val="007B1F10"/>
    <w:rsid w:val="007C0684"/>
    <w:rsid w:val="008204CD"/>
    <w:rsid w:val="00837527"/>
    <w:rsid w:val="00843005"/>
    <w:rsid w:val="008440CE"/>
    <w:rsid w:val="00844DE3"/>
    <w:rsid w:val="008502EF"/>
    <w:rsid w:val="008547F7"/>
    <w:rsid w:val="00877901"/>
    <w:rsid w:val="008A3846"/>
    <w:rsid w:val="008B113B"/>
    <w:rsid w:val="008B610D"/>
    <w:rsid w:val="008C556D"/>
    <w:rsid w:val="008C6F2C"/>
    <w:rsid w:val="008D0D58"/>
    <w:rsid w:val="008D2D82"/>
    <w:rsid w:val="008D57F2"/>
    <w:rsid w:val="008E1E8E"/>
    <w:rsid w:val="008E43E9"/>
    <w:rsid w:val="0090046D"/>
    <w:rsid w:val="0090102C"/>
    <w:rsid w:val="00902D1C"/>
    <w:rsid w:val="00906CA7"/>
    <w:rsid w:val="00915BA9"/>
    <w:rsid w:val="009322DA"/>
    <w:rsid w:val="00940129"/>
    <w:rsid w:val="00951DFC"/>
    <w:rsid w:val="009535CE"/>
    <w:rsid w:val="00976A62"/>
    <w:rsid w:val="009836F5"/>
    <w:rsid w:val="009842B4"/>
    <w:rsid w:val="00984F13"/>
    <w:rsid w:val="00985C7E"/>
    <w:rsid w:val="00990CE9"/>
    <w:rsid w:val="00991F9F"/>
    <w:rsid w:val="009930B0"/>
    <w:rsid w:val="00997EC8"/>
    <w:rsid w:val="009A123C"/>
    <w:rsid w:val="009A73B3"/>
    <w:rsid w:val="009C147D"/>
    <w:rsid w:val="009D5CA3"/>
    <w:rsid w:val="009F203A"/>
    <w:rsid w:val="009F44B0"/>
    <w:rsid w:val="009F53C7"/>
    <w:rsid w:val="009F559F"/>
    <w:rsid w:val="009F5980"/>
    <w:rsid w:val="00A14A9B"/>
    <w:rsid w:val="00A31615"/>
    <w:rsid w:val="00A31A46"/>
    <w:rsid w:val="00A372BC"/>
    <w:rsid w:val="00A403A1"/>
    <w:rsid w:val="00A54699"/>
    <w:rsid w:val="00A5758E"/>
    <w:rsid w:val="00A60236"/>
    <w:rsid w:val="00A90A5B"/>
    <w:rsid w:val="00A930DA"/>
    <w:rsid w:val="00AB1BA8"/>
    <w:rsid w:val="00AB7F73"/>
    <w:rsid w:val="00AC18B2"/>
    <w:rsid w:val="00AD2DA6"/>
    <w:rsid w:val="00AE1A72"/>
    <w:rsid w:val="00AE6A0A"/>
    <w:rsid w:val="00AF1432"/>
    <w:rsid w:val="00B03DF7"/>
    <w:rsid w:val="00B0508F"/>
    <w:rsid w:val="00B07D20"/>
    <w:rsid w:val="00B251BB"/>
    <w:rsid w:val="00B27B18"/>
    <w:rsid w:val="00B37331"/>
    <w:rsid w:val="00B37B24"/>
    <w:rsid w:val="00B41FC8"/>
    <w:rsid w:val="00B46BEC"/>
    <w:rsid w:val="00B47FD6"/>
    <w:rsid w:val="00B501AE"/>
    <w:rsid w:val="00B53C15"/>
    <w:rsid w:val="00B56507"/>
    <w:rsid w:val="00B6111A"/>
    <w:rsid w:val="00B76BD2"/>
    <w:rsid w:val="00B858DD"/>
    <w:rsid w:val="00B94321"/>
    <w:rsid w:val="00B950F4"/>
    <w:rsid w:val="00BA4E8D"/>
    <w:rsid w:val="00BA6988"/>
    <w:rsid w:val="00BA7D31"/>
    <w:rsid w:val="00BB2684"/>
    <w:rsid w:val="00BC0077"/>
    <w:rsid w:val="00BC4D55"/>
    <w:rsid w:val="00BC62B9"/>
    <w:rsid w:val="00BC7DE4"/>
    <w:rsid w:val="00BD1199"/>
    <w:rsid w:val="00BD4D3D"/>
    <w:rsid w:val="00BE029F"/>
    <w:rsid w:val="00BE1C8A"/>
    <w:rsid w:val="00BE2255"/>
    <w:rsid w:val="00BF7B94"/>
    <w:rsid w:val="00C07248"/>
    <w:rsid w:val="00C10392"/>
    <w:rsid w:val="00C25E87"/>
    <w:rsid w:val="00C27108"/>
    <w:rsid w:val="00C35ECA"/>
    <w:rsid w:val="00C73DD0"/>
    <w:rsid w:val="00C8082E"/>
    <w:rsid w:val="00C84EC3"/>
    <w:rsid w:val="00C87704"/>
    <w:rsid w:val="00CA040D"/>
    <w:rsid w:val="00CA19B8"/>
    <w:rsid w:val="00CA270D"/>
    <w:rsid w:val="00CC2190"/>
    <w:rsid w:val="00CC7254"/>
    <w:rsid w:val="00CD1265"/>
    <w:rsid w:val="00CD2D89"/>
    <w:rsid w:val="00CE2F1F"/>
    <w:rsid w:val="00CE60D7"/>
    <w:rsid w:val="00CE7D70"/>
    <w:rsid w:val="00CE7EE2"/>
    <w:rsid w:val="00D02D29"/>
    <w:rsid w:val="00D05E9A"/>
    <w:rsid w:val="00D06FE1"/>
    <w:rsid w:val="00D14218"/>
    <w:rsid w:val="00D26AA2"/>
    <w:rsid w:val="00D322AB"/>
    <w:rsid w:val="00D33725"/>
    <w:rsid w:val="00D40CE1"/>
    <w:rsid w:val="00D51EE0"/>
    <w:rsid w:val="00D52140"/>
    <w:rsid w:val="00D53272"/>
    <w:rsid w:val="00D626E0"/>
    <w:rsid w:val="00D7574A"/>
    <w:rsid w:val="00D81CE9"/>
    <w:rsid w:val="00D82EA9"/>
    <w:rsid w:val="00D865E2"/>
    <w:rsid w:val="00D967E3"/>
    <w:rsid w:val="00D9720D"/>
    <w:rsid w:val="00DA1405"/>
    <w:rsid w:val="00DA1F82"/>
    <w:rsid w:val="00DA23C0"/>
    <w:rsid w:val="00DA3AFC"/>
    <w:rsid w:val="00DC02E4"/>
    <w:rsid w:val="00DC478F"/>
    <w:rsid w:val="00DC5A8A"/>
    <w:rsid w:val="00DD00AD"/>
    <w:rsid w:val="00DD3E2B"/>
    <w:rsid w:val="00DD48C5"/>
    <w:rsid w:val="00DD651B"/>
    <w:rsid w:val="00DD680D"/>
    <w:rsid w:val="00DE7D6D"/>
    <w:rsid w:val="00DF0623"/>
    <w:rsid w:val="00E06AA3"/>
    <w:rsid w:val="00E1024C"/>
    <w:rsid w:val="00E13B07"/>
    <w:rsid w:val="00E206B2"/>
    <w:rsid w:val="00E24907"/>
    <w:rsid w:val="00E24CDD"/>
    <w:rsid w:val="00E25AC4"/>
    <w:rsid w:val="00E25F01"/>
    <w:rsid w:val="00E33EBE"/>
    <w:rsid w:val="00E34179"/>
    <w:rsid w:val="00E379AC"/>
    <w:rsid w:val="00E42115"/>
    <w:rsid w:val="00E62585"/>
    <w:rsid w:val="00E7279B"/>
    <w:rsid w:val="00EA05F0"/>
    <w:rsid w:val="00EA4CA7"/>
    <w:rsid w:val="00EA71C9"/>
    <w:rsid w:val="00EC09C7"/>
    <w:rsid w:val="00EC1290"/>
    <w:rsid w:val="00EC343A"/>
    <w:rsid w:val="00EE0F7C"/>
    <w:rsid w:val="00EE6119"/>
    <w:rsid w:val="00F10BF3"/>
    <w:rsid w:val="00F21F12"/>
    <w:rsid w:val="00F30437"/>
    <w:rsid w:val="00F30F06"/>
    <w:rsid w:val="00F33383"/>
    <w:rsid w:val="00F33976"/>
    <w:rsid w:val="00F42D80"/>
    <w:rsid w:val="00F43787"/>
    <w:rsid w:val="00F45BCF"/>
    <w:rsid w:val="00F45D4C"/>
    <w:rsid w:val="00F47242"/>
    <w:rsid w:val="00F473E8"/>
    <w:rsid w:val="00F54D2A"/>
    <w:rsid w:val="00F60BDB"/>
    <w:rsid w:val="00F6116C"/>
    <w:rsid w:val="00F7162B"/>
    <w:rsid w:val="00F843DE"/>
    <w:rsid w:val="00FA0743"/>
    <w:rsid w:val="00FB6F6F"/>
    <w:rsid w:val="00FB7CBE"/>
    <w:rsid w:val="00FC0C12"/>
    <w:rsid w:val="00FD0373"/>
    <w:rsid w:val="00FD5C56"/>
    <w:rsid w:val="00FE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9EE23"/>
  <w15:docId w15:val="{3F8E38FD-E9F4-4DAC-A0B5-4D86544C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EF"/>
    <w:pPr>
      <w:widowControl w:val="0"/>
      <w:suppressAutoHyphens/>
    </w:pPr>
    <w:rPr>
      <w:rFonts w:ascii="Nimbus Roman No9 L" w:eastAsia="DejaVu Sans" w:hAnsi="Nimbus Roman No9 L"/>
      <w:sz w:val="24"/>
      <w:szCs w:val="24"/>
    </w:rPr>
  </w:style>
  <w:style w:type="paragraph" w:styleId="Heading1">
    <w:name w:val="heading 1"/>
    <w:basedOn w:val="Normal"/>
    <w:next w:val="Normal"/>
    <w:qFormat/>
    <w:pPr>
      <w:keepNext/>
      <w:numPr>
        <w:numId w:val="1"/>
      </w:numPr>
      <w:tabs>
        <w:tab w:val="left" w:pos="3600"/>
      </w:tabs>
      <w:outlineLvl w:val="0"/>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Heading">
    <w:name w:val="Heading"/>
    <w:basedOn w:val="Normal"/>
    <w:next w:val="BodyText"/>
    <w:pPr>
      <w:keepNext/>
      <w:spacing w:before="240" w:after="120"/>
    </w:pPr>
    <w:rPr>
      <w:rFonts w:ascii="Nimbus Sans L"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986"/>
        <w:tab w:val="right" w:pos="9972"/>
      </w:tabs>
    </w:pPr>
  </w:style>
  <w:style w:type="paragraph" w:styleId="BodyText2">
    <w:name w:val="Body Text 2"/>
    <w:basedOn w:val="Normal"/>
    <w:pPr>
      <w:tabs>
        <w:tab w:val="left" w:pos="-720"/>
      </w:tabs>
      <w:jc w:val="both"/>
    </w:pPr>
    <w:rPr>
      <w:sz w:val="20"/>
    </w:rPr>
  </w:style>
  <w:style w:type="paragraph" w:styleId="BodyText3">
    <w:name w:val="Body Text 3"/>
    <w:basedOn w:val="Normal"/>
    <w:pPr>
      <w:tabs>
        <w:tab w:val="left" w:pos="-720"/>
      </w:tabs>
      <w:jc w:val="both"/>
    </w:pPr>
    <w:rPr>
      <w:b/>
      <w:bCs/>
      <w:color w:val="0000FF"/>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B6111A"/>
  </w:style>
  <w:style w:type="character" w:styleId="Strong">
    <w:name w:val="Strong"/>
    <w:qFormat/>
    <w:rsid w:val="00BA4E8D"/>
    <w:rPr>
      <w:b/>
      <w:bCs/>
    </w:rPr>
  </w:style>
  <w:style w:type="paragraph" w:styleId="NoSpacing">
    <w:name w:val="No Spacing"/>
    <w:qFormat/>
    <w:rsid w:val="004C3143"/>
    <w:rPr>
      <w:rFonts w:ascii="Calibri" w:eastAsia="Calibri" w:hAnsi="Calibri"/>
      <w:sz w:val="22"/>
      <w:szCs w:val="22"/>
    </w:rPr>
  </w:style>
  <w:style w:type="character" w:customStyle="1" w:styleId="FooterChar">
    <w:name w:val="Footer Char"/>
    <w:basedOn w:val="DefaultParagraphFont"/>
    <w:link w:val="Footer"/>
    <w:uiPriority w:val="99"/>
    <w:rsid w:val="00151F95"/>
    <w:rPr>
      <w:rFonts w:ascii="Nimbus Roman No9 L" w:eastAsia="DejaVu Sans" w:hAnsi="Nimbus Roman No9 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1588">
      <w:bodyDiv w:val="1"/>
      <w:marLeft w:val="0"/>
      <w:marRight w:val="0"/>
      <w:marTop w:val="0"/>
      <w:marBottom w:val="0"/>
      <w:divBdr>
        <w:top w:val="none" w:sz="0" w:space="0" w:color="auto"/>
        <w:left w:val="none" w:sz="0" w:space="0" w:color="auto"/>
        <w:bottom w:val="none" w:sz="0" w:space="0" w:color="auto"/>
        <w:right w:val="none" w:sz="0" w:space="0" w:color="auto"/>
      </w:divBdr>
    </w:div>
    <w:div w:id="416097541">
      <w:bodyDiv w:val="1"/>
      <w:marLeft w:val="0"/>
      <w:marRight w:val="0"/>
      <w:marTop w:val="0"/>
      <w:marBottom w:val="0"/>
      <w:divBdr>
        <w:top w:val="none" w:sz="0" w:space="0" w:color="auto"/>
        <w:left w:val="none" w:sz="0" w:space="0" w:color="auto"/>
        <w:bottom w:val="none" w:sz="0" w:space="0" w:color="auto"/>
        <w:right w:val="none" w:sz="0" w:space="0" w:color="auto"/>
      </w:divBdr>
    </w:div>
    <w:div w:id="971404355">
      <w:bodyDiv w:val="1"/>
      <w:marLeft w:val="0"/>
      <w:marRight w:val="0"/>
      <w:marTop w:val="0"/>
      <w:marBottom w:val="0"/>
      <w:divBdr>
        <w:top w:val="none" w:sz="0" w:space="0" w:color="auto"/>
        <w:left w:val="none" w:sz="0" w:space="0" w:color="auto"/>
        <w:bottom w:val="none" w:sz="0" w:space="0" w:color="auto"/>
        <w:right w:val="none" w:sz="0" w:space="0" w:color="auto"/>
      </w:divBdr>
    </w:div>
    <w:div w:id="1309165117">
      <w:bodyDiv w:val="1"/>
      <w:marLeft w:val="0"/>
      <w:marRight w:val="0"/>
      <w:marTop w:val="0"/>
      <w:marBottom w:val="0"/>
      <w:divBdr>
        <w:top w:val="none" w:sz="0" w:space="0" w:color="auto"/>
        <w:left w:val="none" w:sz="0" w:space="0" w:color="auto"/>
        <w:bottom w:val="none" w:sz="0" w:space="0" w:color="auto"/>
        <w:right w:val="none" w:sz="0" w:space="0" w:color="auto"/>
      </w:divBdr>
    </w:div>
    <w:div w:id="1550532039">
      <w:bodyDiv w:val="1"/>
      <w:marLeft w:val="0"/>
      <w:marRight w:val="0"/>
      <w:marTop w:val="0"/>
      <w:marBottom w:val="0"/>
      <w:divBdr>
        <w:top w:val="none" w:sz="0" w:space="0" w:color="auto"/>
        <w:left w:val="none" w:sz="0" w:space="0" w:color="auto"/>
        <w:bottom w:val="none" w:sz="0" w:space="0" w:color="auto"/>
        <w:right w:val="none" w:sz="0" w:space="0" w:color="auto"/>
      </w:divBdr>
    </w:div>
    <w:div w:id="16412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730F-FA33-4277-A400-C0E01B79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SUNYDMC</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Throckmorton</dc:creator>
  <cp:lastModifiedBy>Ed Throckmorton</cp:lastModifiedBy>
  <cp:revision>2</cp:revision>
  <cp:lastPrinted>2013-03-19T18:26:00Z</cp:lastPrinted>
  <dcterms:created xsi:type="dcterms:W3CDTF">2019-04-04T20:48:00Z</dcterms:created>
  <dcterms:modified xsi:type="dcterms:W3CDTF">2019-04-04T20:48:00Z</dcterms:modified>
</cp:coreProperties>
</file>