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E6CFA9" w14:textId="58C14018" w:rsidR="00590E73" w:rsidRPr="00590E73" w:rsidRDefault="009C72B0" w:rsidP="00590E73">
      <w:pPr>
        <w:pStyle w:val="Title"/>
        <w:jc w:val="center"/>
        <w:rPr>
          <w:rFonts w:ascii="Montserrat" w:hAnsi="Montserrat" w:cs="Times New Roman"/>
          <w:b/>
          <w:sz w:val="36"/>
          <w:szCs w:val="36"/>
        </w:rPr>
      </w:pPr>
      <w:r w:rsidRPr="00590E73">
        <w:rPr>
          <w:rFonts w:ascii="Montserrat" w:hAnsi="Montserrat" w:cs="Times New Roman"/>
          <w:b/>
          <w:sz w:val="36"/>
          <w:szCs w:val="36"/>
        </w:rPr>
        <w:t xml:space="preserve">SUNY DOWNSTATE </w:t>
      </w:r>
      <w:r w:rsidR="00590E73">
        <w:rPr>
          <w:rFonts w:ascii="Montserrat" w:hAnsi="Montserrat" w:cs="Times New Roman"/>
          <w:b/>
          <w:sz w:val="36"/>
          <w:szCs w:val="36"/>
        </w:rPr>
        <w:t>HEALTH SCIENCES UNIVERSITY</w:t>
      </w:r>
    </w:p>
    <w:p w14:paraId="654E2984" w14:textId="77777777" w:rsidR="009C72B0" w:rsidRPr="00590E73" w:rsidRDefault="009C72B0">
      <w:pPr>
        <w:jc w:val="center"/>
        <w:rPr>
          <w:rFonts w:ascii="Montserrat" w:hAnsi="Montserrat"/>
          <w:b/>
        </w:rPr>
      </w:pPr>
      <w:r w:rsidRPr="00590E73">
        <w:rPr>
          <w:rFonts w:ascii="Montserrat" w:hAnsi="Montserrat"/>
          <w:b/>
        </w:rPr>
        <w:t>POLICY AND PROCEDURE</w:t>
      </w:r>
    </w:p>
    <w:p w14:paraId="029B9E40" w14:textId="77777777" w:rsidR="009C72B0" w:rsidRDefault="009C72B0">
      <w:pPr>
        <w:jc w:val="right"/>
        <w:rPr>
          <w:rFonts w:ascii="Times New Roman" w:hAnsi="Times New Roman"/>
          <w:b/>
          <w:sz w:val="20"/>
        </w:rPr>
      </w:pPr>
    </w:p>
    <w:p w14:paraId="2712A2F1" w14:textId="77777777" w:rsidR="009C72B0" w:rsidRDefault="009C72B0">
      <w:pPr>
        <w:jc w:val="center"/>
        <w:rPr>
          <w:rFonts w:ascii="Times New Roman" w:hAnsi="Times New Roman"/>
          <w:b/>
          <w:sz w:val="20"/>
        </w:rPr>
      </w:pPr>
    </w:p>
    <w:tbl>
      <w:tblPr>
        <w:tblStyle w:val="PlainTable4"/>
        <w:tblW w:w="0" w:type="auto"/>
        <w:tblLook w:val="04A0" w:firstRow="1" w:lastRow="0" w:firstColumn="1" w:lastColumn="0" w:noHBand="0" w:noVBand="1"/>
      </w:tblPr>
      <w:tblGrid>
        <w:gridCol w:w="2319"/>
        <w:gridCol w:w="7617"/>
      </w:tblGrid>
      <w:tr w:rsidR="00840253" w:rsidRPr="00590E73" w14:paraId="5623A295" w14:textId="77777777" w:rsidTr="00321F9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19" w:type="dxa"/>
          </w:tcPr>
          <w:p w14:paraId="15B6F931" w14:textId="5026B147" w:rsidR="00840253" w:rsidRPr="00590E73" w:rsidRDefault="00840253">
            <w:pPr>
              <w:rPr>
                <w:rStyle w:val="SubtleEmphasis"/>
                <w:rFonts w:ascii="Montserrat" w:hAnsi="Montserrat"/>
                <w:bCs w:val="0"/>
                <w:i w:val="0"/>
                <w:caps/>
                <w:color w:val="auto"/>
                <w:szCs w:val="22"/>
              </w:rPr>
            </w:pPr>
            <w:r w:rsidRPr="00590E73">
              <w:rPr>
                <w:rStyle w:val="SubtleEmphasis"/>
                <w:rFonts w:ascii="Montserrat" w:hAnsi="Montserrat"/>
                <w:bCs w:val="0"/>
                <w:i w:val="0"/>
                <w:caps/>
                <w:color w:val="auto"/>
                <w:szCs w:val="22"/>
              </w:rPr>
              <w:t>Department:</w:t>
            </w:r>
          </w:p>
        </w:tc>
        <w:tc>
          <w:tcPr>
            <w:tcW w:w="7617" w:type="dxa"/>
          </w:tcPr>
          <w:p w14:paraId="27828B38" w14:textId="7E2772D0" w:rsidR="00840253" w:rsidRPr="00590E73" w:rsidRDefault="00840253">
            <w:pPr>
              <w:cnfStyle w:val="100000000000" w:firstRow="1" w:lastRow="0" w:firstColumn="0" w:lastColumn="0" w:oddVBand="0" w:evenVBand="0" w:oddHBand="0" w:evenHBand="0" w:firstRowFirstColumn="0" w:firstRowLastColumn="0" w:lastRowFirstColumn="0" w:lastRowLastColumn="0"/>
              <w:rPr>
                <w:rFonts w:ascii="Montserrat" w:hAnsi="Montserrat"/>
                <w:b w:val="0"/>
                <w:szCs w:val="22"/>
              </w:rPr>
            </w:pPr>
            <w:r w:rsidRPr="00590E73">
              <w:rPr>
                <w:rFonts w:ascii="Montserrat" w:hAnsi="Montserrat"/>
                <w:szCs w:val="22"/>
              </w:rPr>
              <w:t>College of Medicine</w:t>
            </w:r>
          </w:p>
        </w:tc>
      </w:tr>
      <w:tr w:rsidR="00840253" w:rsidRPr="00590E73" w14:paraId="7F966D88" w14:textId="77777777" w:rsidTr="00321F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19" w:type="dxa"/>
          </w:tcPr>
          <w:p w14:paraId="302113A8" w14:textId="7D12DCFA" w:rsidR="00840253" w:rsidRPr="00590E73" w:rsidRDefault="00840253">
            <w:pPr>
              <w:rPr>
                <w:rStyle w:val="SubtleEmphasis"/>
                <w:rFonts w:ascii="Montserrat" w:hAnsi="Montserrat"/>
                <w:bCs w:val="0"/>
                <w:i w:val="0"/>
                <w:caps/>
                <w:color w:val="auto"/>
                <w:szCs w:val="22"/>
              </w:rPr>
            </w:pPr>
            <w:r w:rsidRPr="00590E73">
              <w:rPr>
                <w:rStyle w:val="SubtleEmphasis"/>
                <w:rFonts w:ascii="Montserrat" w:hAnsi="Montserrat"/>
                <w:bCs w:val="0"/>
                <w:i w:val="0"/>
                <w:caps/>
                <w:color w:val="auto"/>
                <w:szCs w:val="22"/>
              </w:rPr>
              <w:t>Effects:</w:t>
            </w:r>
          </w:p>
        </w:tc>
        <w:tc>
          <w:tcPr>
            <w:tcW w:w="7617" w:type="dxa"/>
          </w:tcPr>
          <w:p w14:paraId="4F146A9F" w14:textId="4C146CCC" w:rsidR="00840253" w:rsidRPr="00590E73" w:rsidRDefault="00840253" w:rsidP="00840253">
            <w:pPr>
              <w:cnfStyle w:val="000000100000" w:firstRow="0" w:lastRow="0" w:firstColumn="0" w:lastColumn="0" w:oddVBand="0" w:evenVBand="0" w:oddHBand="1" w:evenHBand="0" w:firstRowFirstColumn="0" w:firstRowLastColumn="0" w:lastRowFirstColumn="0" w:lastRowLastColumn="0"/>
              <w:rPr>
                <w:rStyle w:val="SubtleEmphasis"/>
                <w:rFonts w:ascii="Montserrat" w:hAnsi="Montserrat"/>
                <w:b/>
                <w:i w:val="0"/>
                <w:color w:val="auto"/>
                <w:szCs w:val="22"/>
              </w:rPr>
            </w:pPr>
            <w:r w:rsidRPr="00590E73">
              <w:rPr>
                <w:rStyle w:val="SubtleEmphasis"/>
                <w:rFonts w:ascii="Montserrat" w:hAnsi="Montserrat"/>
                <w:b/>
                <w:i w:val="0"/>
                <w:color w:val="auto"/>
                <w:szCs w:val="22"/>
              </w:rPr>
              <w:sym w:font="Symbol" w:char="F090"/>
            </w:r>
            <w:r w:rsidRPr="00590E73">
              <w:rPr>
                <w:rStyle w:val="SubtleEmphasis"/>
                <w:rFonts w:ascii="Montserrat" w:hAnsi="Montserrat"/>
                <w:b/>
                <w:i w:val="0"/>
                <w:color w:val="auto"/>
                <w:szCs w:val="22"/>
              </w:rPr>
              <w:t xml:space="preserve"> School of Health Professions</w:t>
            </w:r>
            <w:r w:rsidRPr="00590E73">
              <w:rPr>
                <w:rStyle w:val="SubtleEmphasis"/>
                <w:rFonts w:ascii="Montserrat" w:hAnsi="Montserrat"/>
                <w:b/>
                <w:i w:val="0"/>
                <w:color w:val="auto"/>
                <w:szCs w:val="22"/>
              </w:rPr>
              <w:tab/>
            </w:r>
          </w:p>
          <w:p w14:paraId="5D4B40E8" w14:textId="0879EE33" w:rsidR="00840253" w:rsidRPr="00590E73" w:rsidRDefault="00840253" w:rsidP="00840253">
            <w:pPr>
              <w:cnfStyle w:val="000000100000" w:firstRow="0" w:lastRow="0" w:firstColumn="0" w:lastColumn="0" w:oddVBand="0" w:evenVBand="0" w:oddHBand="1" w:evenHBand="0" w:firstRowFirstColumn="0" w:firstRowLastColumn="0" w:lastRowFirstColumn="0" w:lastRowLastColumn="0"/>
              <w:rPr>
                <w:rStyle w:val="SubtleEmphasis"/>
                <w:rFonts w:ascii="Montserrat" w:hAnsi="Montserrat"/>
                <w:b/>
                <w:i w:val="0"/>
                <w:color w:val="auto"/>
                <w:szCs w:val="22"/>
              </w:rPr>
            </w:pPr>
            <w:r w:rsidRPr="00590E73">
              <w:rPr>
                <w:rStyle w:val="SubtleEmphasis"/>
                <w:rFonts w:ascii="Montserrat" w:hAnsi="Montserrat"/>
                <w:b/>
                <w:i w:val="0"/>
                <w:color w:val="auto"/>
                <w:szCs w:val="22"/>
              </w:rPr>
              <w:sym w:font="Symbol" w:char="F090"/>
            </w:r>
            <w:r w:rsidRPr="00590E73">
              <w:rPr>
                <w:rStyle w:val="SubtleEmphasis"/>
                <w:rFonts w:ascii="Montserrat" w:hAnsi="Montserrat"/>
                <w:b/>
                <w:i w:val="0"/>
                <w:color w:val="auto"/>
                <w:szCs w:val="22"/>
              </w:rPr>
              <w:t xml:space="preserve"> School of Graduate Studies</w:t>
            </w:r>
          </w:p>
          <w:p w14:paraId="2B05FABF" w14:textId="0205FC86" w:rsidR="00840253" w:rsidRPr="00590E73" w:rsidRDefault="00CC6EED" w:rsidP="00840253">
            <w:pPr>
              <w:cnfStyle w:val="000000100000" w:firstRow="0" w:lastRow="0" w:firstColumn="0" w:lastColumn="0" w:oddVBand="0" w:evenVBand="0" w:oddHBand="1" w:evenHBand="0" w:firstRowFirstColumn="0" w:firstRowLastColumn="0" w:lastRowFirstColumn="0" w:lastRowLastColumn="0"/>
              <w:rPr>
                <w:rStyle w:val="SubtleEmphasis"/>
                <w:rFonts w:ascii="Montserrat" w:hAnsi="Montserrat"/>
                <w:b/>
                <w:i w:val="0"/>
                <w:color w:val="auto"/>
                <w:szCs w:val="22"/>
              </w:rPr>
            </w:pPr>
            <w:r w:rsidRPr="00590E73">
              <w:rPr>
                <w:rStyle w:val="SubtleEmphasis"/>
                <w:rFonts w:ascii="Montserrat" w:hAnsi="Montserrat"/>
                <w:b/>
                <w:i w:val="0"/>
                <w:color w:val="auto"/>
                <w:szCs w:val="22"/>
              </w:rPr>
              <w:t>X</w:t>
            </w:r>
            <w:r w:rsidR="00840253" w:rsidRPr="00590E73">
              <w:rPr>
                <w:rStyle w:val="SubtleEmphasis"/>
                <w:rFonts w:ascii="Montserrat" w:hAnsi="Montserrat"/>
                <w:b/>
                <w:i w:val="0"/>
                <w:color w:val="auto"/>
                <w:szCs w:val="22"/>
              </w:rPr>
              <w:t xml:space="preserve"> College of Medicine</w:t>
            </w:r>
          </w:p>
          <w:p w14:paraId="1F712B89" w14:textId="429FA96E" w:rsidR="00840253" w:rsidRPr="00590E73" w:rsidRDefault="00840253" w:rsidP="00840253">
            <w:pPr>
              <w:cnfStyle w:val="000000100000" w:firstRow="0" w:lastRow="0" w:firstColumn="0" w:lastColumn="0" w:oddVBand="0" w:evenVBand="0" w:oddHBand="1" w:evenHBand="0" w:firstRowFirstColumn="0" w:firstRowLastColumn="0" w:lastRowFirstColumn="0" w:lastRowLastColumn="0"/>
              <w:rPr>
                <w:rStyle w:val="SubtleEmphasis"/>
                <w:rFonts w:ascii="Montserrat" w:hAnsi="Montserrat"/>
                <w:b/>
                <w:i w:val="0"/>
                <w:color w:val="auto"/>
                <w:szCs w:val="22"/>
              </w:rPr>
            </w:pPr>
            <w:r w:rsidRPr="00590E73">
              <w:rPr>
                <w:rStyle w:val="SubtleEmphasis"/>
                <w:rFonts w:ascii="Montserrat" w:hAnsi="Montserrat"/>
                <w:b/>
                <w:i w:val="0"/>
                <w:color w:val="auto"/>
                <w:szCs w:val="22"/>
              </w:rPr>
              <w:sym w:font="Symbol" w:char="F090"/>
            </w:r>
            <w:r w:rsidRPr="00590E73">
              <w:rPr>
                <w:rStyle w:val="SubtleEmphasis"/>
                <w:rFonts w:ascii="Montserrat" w:hAnsi="Montserrat"/>
                <w:b/>
                <w:i w:val="0"/>
                <w:color w:val="auto"/>
                <w:szCs w:val="22"/>
              </w:rPr>
              <w:t xml:space="preserve"> College of Nursing</w:t>
            </w:r>
          </w:p>
          <w:p w14:paraId="539FD872" w14:textId="77777777" w:rsidR="00840253" w:rsidRPr="00590E73" w:rsidRDefault="00840253" w:rsidP="00840253">
            <w:pPr>
              <w:cnfStyle w:val="000000100000" w:firstRow="0" w:lastRow="0" w:firstColumn="0" w:lastColumn="0" w:oddVBand="0" w:evenVBand="0" w:oddHBand="1" w:evenHBand="0" w:firstRowFirstColumn="0" w:firstRowLastColumn="0" w:lastRowFirstColumn="0" w:lastRowLastColumn="0"/>
              <w:rPr>
                <w:rStyle w:val="SubtleEmphasis"/>
                <w:rFonts w:ascii="Montserrat" w:hAnsi="Montserrat"/>
                <w:b/>
                <w:i w:val="0"/>
                <w:color w:val="auto"/>
                <w:szCs w:val="22"/>
              </w:rPr>
            </w:pPr>
            <w:r w:rsidRPr="00590E73">
              <w:rPr>
                <w:rStyle w:val="SubtleEmphasis"/>
                <w:rFonts w:ascii="Montserrat" w:hAnsi="Montserrat"/>
                <w:b/>
                <w:i w:val="0"/>
                <w:color w:val="auto"/>
                <w:szCs w:val="22"/>
              </w:rPr>
              <w:sym w:font="Symbol" w:char="F090"/>
            </w:r>
            <w:r w:rsidRPr="00590E73">
              <w:rPr>
                <w:rStyle w:val="SubtleEmphasis"/>
                <w:rFonts w:ascii="Montserrat" w:hAnsi="Montserrat"/>
                <w:b/>
                <w:i w:val="0"/>
                <w:color w:val="auto"/>
                <w:szCs w:val="22"/>
              </w:rPr>
              <w:t xml:space="preserve"> School of Public Health</w:t>
            </w:r>
          </w:p>
          <w:p w14:paraId="7FFBF296" w14:textId="77777777" w:rsidR="00840253" w:rsidRPr="00590E73" w:rsidRDefault="00840253">
            <w:pPr>
              <w:cnfStyle w:val="000000100000" w:firstRow="0" w:lastRow="0" w:firstColumn="0" w:lastColumn="0" w:oddVBand="0" w:evenVBand="0" w:oddHBand="1" w:evenHBand="0" w:firstRowFirstColumn="0" w:firstRowLastColumn="0" w:lastRowFirstColumn="0" w:lastRowLastColumn="0"/>
              <w:rPr>
                <w:rFonts w:ascii="Montserrat" w:hAnsi="Montserrat"/>
                <w:b/>
                <w:szCs w:val="22"/>
              </w:rPr>
            </w:pPr>
          </w:p>
        </w:tc>
      </w:tr>
      <w:tr w:rsidR="00840253" w:rsidRPr="00590E73" w14:paraId="21190CDC" w14:textId="77777777" w:rsidTr="00321F90">
        <w:tc>
          <w:tcPr>
            <w:cnfStyle w:val="001000000000" w:firstRow="0" w:lastRow="0" w:firstColumn="1" w:lastColumn="0" w:oddVBand="0" w:evenVBand="0" w:oddHBand="0" w:evenHBand="0" w:firstRowFirstColumn="0" w:firstRowLastColumn="0" w:lastRowFirstColumn="0" w:lastRowLastColumn="0"/>
            <w:tcW w:w="2319" w:type="dxa"/>
          </w:tcPr>
          <w:p w14:paraId="7213D5CF" w14:textId="3E75ACDC" w:rsidR="00840253" w:rsidRPr="00590E73" w:rsidRDefault="00840253">
            <w:pPr>
              <w:rPr>
                <w:rStyle w:val="SubtleEmphasis"/>
                <w:rFonts w:ascii="Montserrat" w:hAnsi="Montserrat"/>
                <w:bCs w:val="0"/>
                <w:i w:val="0"/>
                <w:caps/>
                <w:color w:val="auto"/>
                <w:szCs w:val="22"/>
              </w:rPr>
            </w:pPr>
            <w:r w:rsidRPr="00590E73">
              <w:rPr>
                <w:rStyle w:val="SubtleEmphasis"/>
                <w:rFonts w:ascii="Montserrat" w:hAnsi="Montserrat"/>
                <w:bCs w:val="0"/>
                <w:i w:val="0"/>
                <w:caps/>
                <w:color w:val="auto"/>
                <w:szCs w:val="22"/>
              </w:rPr>
              <w:t>Subject And Key Words:</w:t>
            </w:r>
          </w:p>
        </w:tc>
        <w:tc>
          <w:tcPr>
            <w:tcW w:w="7617" w:type="dxa"/>
          </w:tcPr>
          <w:p w14:paraId="7DFE553D" w14:textId="3F5CF17C" w:rsidR="00840253" w:rsidRPr="00590E73" w:rsidRDefault="00CB5975">
            <w:pPr>
              <w:cnfStyle w:val="000000000000" w:firstRow="0" w:lastRow="0" w:firstColumn="0" w:lastColumn="0" w:oddVBand="0" w:evenVBand="0" w:oddHBand="0" w:evenHBand="0" w:firstRowFirstColumn="0" w:firstRowLastColumn="0" w:lastRowFirstColumn="0" w:lastRowLastColumn="0"/>
              <w:rPr>
                <w:rFonts w:ascii="Montserrat" w:hAnsi="Montserrat"/>
                <w:b/>
                <w:szCs w:val="22"/>
              </w:rPr>
            </w:pPr>
            <w:r>
              <w:rPr>
                <w:rFonts w:ascii="Montserrat" w:hAnsi="Montserrat"/>
                <w:b/>
                <w:szCs w:val="22"/>
              </w:rPr>
              <w:t>Grade Appeals</w:t>
            </w:r>
          </w:p>
        </w:tc>
      </w:tr>
      <w:tr w:rsidR="00321F90" w:rsidRPr="00590E73" w14:paraId="0797BC96" w14:textId="77777777" w:rsidTr="00321F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19" w:type="dxa"/>
          </w:tcPr>
          <w:p w14:paraId="590F0599" w14:textId="030D47DB" w:rsidR="00321F90" w:rsidRPr="00590E73" w:rsidRDefault="00321F90" w:rsidP="00321F90">
            <w:pPr>
              <w:rPr>
                <w:rStyle w:val="SubtleEmphasis"/>
                <w:rFonts w:ascii="Montserrat" w:hAnsi="Montserrat"/>
                <w:bCs w:val="0"/>
                <w:i w:val="0"/>
                <w:caps/>
                <w:color w:val="auto"/>
                <w:szCs w:val="22"/>
              </w:rPr>
            </w:pPr>
            <w:r w:rsidRPr="00590E73">
              <w:rPr>
                <w:rStyle w:val="SubtleEmphasis"/>
                <w:rFonts w:ascii="Montserrat" w:hAnsi="Montserrat"/>
                <w:bCs w:val="0"/>
                <w:i w:val="0"/>
                <w:caps/>
                <w:color w:val="auto"/>
                <w:szCs w:val="22"/>
              </w:rPr>
              <w:t xml:space="preserve">Prepared By:   </w:t>
            </w:r>
          </w:p>
        </w:tc>
        <w:tc>
          <w:tcPr>
            <w:tcW w:w="7617" w:type="dxa"/>
          </w:tcPr>
          <w:p w14:paraId="3056A8D5" w14:textId="2666AD55" w:rsidR="00321F90" w:rsidRPr="00590E73" w:rsidRDefault="00CB5975" w:rsidP="00321F90">
            <w:pPr>
              <w:cnfStyle w:val="000000100000" w:firstRow="0" w:lastRow="0" w:firstColumn="0" w:lastColumn="0" w:oddVBand="0" w:evenVBand="0" w:oddHBand="1" w:evenHBand="0" w:firstRowFirstColumn="0" w:firstRowLastColumn="0" w:lastRowFirstColumn="0" w:lastRowLastColumn="0"/>
              <w:rPr>
                <w:rFonts w:ascii="Montserrat" w:hAnsi="Montserrat"/>
                <w:b/>
                <w:szCs w:val="22"/>
              </w:rPr>
            </w:pPr>
            <w:r w:rsidRPr="00CB5975">
              <w:rPr>
                <w:rFonts w:ascii="Montserrat" w:hAnsi="Montserrat"/>
                <w:b/>
                <w:szCs w:val="22"/>
              </w:rPr>
              <w:t>Associate Dean of Foundations of Medicine</w:t>
            </w:r>
            <w:r>
              <w:rPr>
                <w:rFonts w:ascii="Montserrat" w:hAnsi="Montserrat"/>
                <w:b/>
                <w:szCs w:val="22"/>
              </w:rPr>
              <w:t xml:space="preserve"> and </w:t>
            </w:r>
            <w:r w:rsidRPr="00CB5975">
              <w:rPr>
                <w:rFonts w:ascii="Montserrat" w:hAnsi="Montserrat"/>
                <w:b/>
                <w:szCs w:val="22"/>
              </w:rPr>
              <w:t>Associate Dean for Medical Education</w:t>
            </w:r>
          </w:p>
        </w:tc>
      </w:tr>
      <w:tr w:rsidR="00321F90" w:rsidRPr="00590E73" w14:paraId="7D7270AD" w14:textId="77777777" w:rsidTr="00321F90">
        <w:tc>
          <w:tcPr>
            <w:cnfStyle w:val="001000000000" w:firstRow="0" w:lastRow="0" w:firstColumn="1" w:lastColumn="0" w:oddVBand="0" w:evenVBand="0" w:oddHBand="0" w:evenHBand="0" w:firstRowFirstColumn="0" w:firstRowLastColumn="0" w:lastRowFirstColumn="0" w:lastRowLastColumn="0"/>
            <w:tcW w:w="2319" w:type="dxa"/>
          </w:tcPr>
          <w:p w14:paraId="632A8BB9" w14:textId="692D0F6E" w:rsidR="00321F90" w:rsidRPr="00590E73" w:rsidRDefault="00321F90" w:rsidP="00321F90">
            <w:pPr>
              <w:rPr>
                <w:rStyle w:val="SubtleEmphasis"/>
                <w:rFonts w:ascii="Montserrat" w:hAnsi="Montserrat"/>
                <w:bCs w:val="0"/>
                <w:i w:val="0"/>
                <w:caps/>
                <w:color w:val="auto"/>
                <w:szCs w:val="22"/>
              </w:rPr>
            </w:pPr>
            <w:r w:rsidRPr="00590E73">
              <w:rPr>
                <w:rStyle w:val="SubtleEmphasis"/>
                <w:rFonts w:ascii="Montserrat" w:hAnsi="Montserrat"/>
                <w:bCs w:val="0"/>
                <w:i w:val="0"/>
                <w:caps/>
                <w:color w:val="auto"/>
                <w:szCs w:val="22"/>
              </w:rPr>
              <w:t>Reviewed By:</w:t>
            </w:r>
          </w:p>
        </w:tc>
        <w:tc>
          <w:tcPr>
            <w:tcW w:w="7617" w:type="dxa"/>
          </w:tcPr>
          <w:p w14:paraId="723F321D" w14:textId="1E9CA904" w:rsidR="00321F90" w:rsidRPr="00590E73" w:rsidRDefault="00321F90" w:rsidP="00321F90">
            <w:pPr>
              <w:cnfStyle w:val="000000000000" w:firstRow="0" w:lastRow="0" w:firstColumn="0" w:lastColumn="0" w:oddVBand="0" w:evenVBand="0" w:oddHBand="0" w:evenHBand="0" w:firstRowFirstColumn="0" w:firstRowLastColumn="0" w:lastRowFirstColumn="0" w:lastRowLastColumn="0"/>
              <w:rPr>
                <w:rFonts w:ascii="Montserrat" w:hAnsi="Montserrat"/>
                <w:b/>
                <w:szCs w:val="22"/>
              </w:rPr>
            </w:pPr>
            <w:r w:rsidRPr="00590E73">
              <w:rPr>
                <w:rFonts w:ascii="Montserrat" w:hAnsi="Montserrat"/>
                <w:b/>
                <w:szCs w:val="22"/>
              </w:rPr>
              <w:t xml:space="preserve">Student Affairs; Dean’s Council for Education; </w:t>
            </w:r>
          </w:p>
        </w:tc>
      </w:tr>
      <w:tr w:rsidR="00321F90" w:rsidRPr="00590E73" w14:paraId="5B1E870B" w14:textId="77777777" w:rsidTr="00321F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19" w:type="dxa"/>
          </w:tcPr>
          <w:p w14:paraId="470251B7" w14:textId="425E25B9" w:rsidR="00321F90" w:rsidRPr="00590E73" w:rsidRDefault="00321F90" w:rsidP="00321F90">
            <w:pPr>
              <w:rPr>
                <w:rStyle w:val="SubtleEmphasis"/>
                <w:rFonts w:ascii="Montserrat" w:hAnsi="Montserrat"/>
                <w:bCs w:val="0"/>
                <w:i w:val="0"/>
                <w:caps/>
                <w:color w:val="auto"/>
                <w:szCs w:val="22"/>
              </w:rPr>
            </w:pPr>
            <w:r w:rsidRPr="00590E73">
              <w:rPr>
                <w:rStyle w:val="SubtleEmphasis"/>
                <w:rFonts w:ascii="Montserrat" w:hAnsi="Montserrat"/>
                <w:bCs w:val="0"/>
                <w:i w:val="0"/>
                <w:caps/>
                <w:color w:val="auto"/>
                <w:szCs w:val="22"/>
              </w:rPr>
              <w:t>Approved By:</w:t>
            </w:r>
          </w:p>
        </w:tc>
        <w:tc>
          <w:tcPr>
            <w:tcW w:w="7617" w:type="dxa"/>
          </w:tcPr>
          <w:p w14:paraId="3F05C334" w14:textId="66A8BEEC" w:rsidR="00321F90" w:rsidRPr="00590E73" w:rsidRDefault="008433C9" w:rsidP="00321F90">
            <w:pPr>
              <w:cnfStyle w:val="000000100000" w:firstRow="0" w:lastRow="0" w:firstColumn="0" w:lastColumn="0" w:oddVBand="0" w:evenVBand="0" w:oddHBand="1" w:evenHBand="0" w:firstRowFirstColumn="0" w:firstRowLastColumn="0" w:lastRowFirstColumn="0" w:lastRowLastColumn="0"/>
              <w:rPr>
                <w:rFonts w:ascii="Montserrat" w:hAnsi="Montserrat"/>
                <w:b/>
                <w:szCs w:val="22"/>
              </w:rPr>
            </w:pPr>
            <w:r w:rsidRPr="00590E73">
              <w:rPr>
                <w:rFonts w:ascii="Montserrat" w:hAnsi="Montserrat"/>
                <w:b/>
                <w:szCs w:val="22"/>
              </w:rPr>
              <w:t>Dean’s Council for Education</w:t>
            </w:r>
          </w:p>
        </w:tc>
      </w:tr>
      <w:tr w:rsidR="00321F90" w:rsidRPr="00590E73" w14:paraId="5A317496" w14:textId="77777777" w:rsidTr="00321F90">
        <w:tc>
          <w:tcPr>
            <w:cnfStyle w:val="001000000000" w:firstRow="0" w:lastRow="0" w:firstColumn="1" w:lastColumn="0" w:oddVBand="0" w:evenVBand="0" w:oddHBand="0" w:evenHBand="0" w:firstRowFirstColumn="0" w:firstRowLastColumn="0" w:lastRowFirstColumn="0" w:lastRowLastColumn="0"/>
            <w:tcW w:w="2319" w:type="dxa"/>
          </w:tcPr>
          <w:p w14:paraId="73577625" w14:textId="55BC3780" w:rsidR="00321F90" w:rsidRPr="00590E73" w:rsidRDefault="00321F90" w:rsidP="00321F90">
            <w:pPr>
              <w:rPr>
                <w:rStyle w:val="SubtleEmphasis"/>
                <w:rFonts w:ascii="Montserrat" w:hAnsi="Montserrat"/>
                <w:bCs w:val="0"/>
                <w:i w:val="0"/>
                <w:caps/>
                <w:color w:val="auto"/>
                <w:szCs w:val="22"/>
              </w:rPr>
            </w:pPr>
            <w:r w:rsidRPr="00590E73">
              <w:rPr>
                <w:rStyle w:val="SubtleEmphasis"/>
                <w:rFonts w:ascii="Montserrat" w:hAnsi="Montserrat"/>
                <w:bCs w:val="0"/>
                <w:i w:val="0"/>
                <w:caps/>
                <w:color w:val="auto"/>
                <w:szCs w:val="22"/>
              </w:rPr>
              <w:t>Approval Date:</w:t>
            </w:r>
          </w:p>
        </w:tc>
        <w:tc>
          <w:tcPr>
            <w:tcW w:w="7617" w:type="dxa"/>
          </w:tcPr>
          <w:p w14:paraId="7D5C54E3" w14:textId="27B151F4" w:rsidR="00321F90" w:rsidRPr="00590E73" w:rsidRDefault="00CB5975" w:rsidP="00321F90">
            <w:pPr>
              <w:cnfStyle w:val="000000000000" w:firstRow="0" w:lastRow="0" w:firstColumn="0" w:lastColumn="0" w:oddVBand="0" w:evenVBand="0" w:oddHBand="0" w:evenHBand="0" w:firstRowFirstColumn="0" w:firstRowLastColumn="0" w:lastRowFirstColumn="0" w:lastRowLastColumn="0"/>
              <w:rPr>
                <w:rFonts w:ascii="Montserrat" w:hAnsi="Montserrat"/>
                <w:b/>
                <w:szCs w:val="22"/>
              </w:rPr>
            </w:pPr>
            <w:r>
              <w:rPr>
                <w:rFonts w:ascii="Montserrat" w:hAnsi="Montserrat"/>
                <w:b/>
                <w:szCs w:val="22"/>
              </w:rPr>
              <w:t>February 18, 2020</w:t>
            </w:r>
          </w:p>
        </w:tc>
      </w:tr>
      <w:tr w:rsidR="00321F90" w:rsidRPr="00590E73" w14:paraId="1F3E9F96" w14:textId="77777777" w:rsidTr="00321F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19" w:type="dxa"/>
          </w:tcPr>
          <w:p w14:paraId="07C218F5" w14:textId="75D2038F" w:rsidR="00321F90" w:rsidRPr="00590E73" w:rsidRDefault="00321F90" w:rsidP="00321F90">
            <w:pPr>
              <w:rPr>
                <w:rStyle w:val="SubtleEmphasis"/>
                <w:rFonts w:ascii="Montserrat" w:hAnsi="Montserrat"/>
                <w:bCs w:val="0"/>
                <w:i w:val="0"/>
                <w:caps/>
                <w:color w:val="auto"/>
                <w:szCs w:val="22"/>
              </w:rPr>
            </w:pPr>
            <w:r w:rsidRPr="00590E73">
              <w:rPr>
                <w:rStyle w:val="SubtleEmphasis"/>
                <w:rFonts w:ascii="Montserrat" w:hAnsi="Montserrat"/>
                <w:bCs w:val="0"/>
                <w:i w:val="0"/>
                <w:caps/>
                <w:color w:val="auto"/>
                <w:szCs w:val="22"/>
              </w:rPr>
              <w:t>Distribution:</w:t>
            </w:r>
          </w:p>
        </w:tc>
        <w:tc>
          <w:tcPr>
            <w:tcW w:w="7617" w:type="dxa"/>
          </w:tcPr>
          <w:p w14:paraId="3C4431FE" w14:textId="5D53D29A" w:rsidR="00321F90" w:rsidRPr="00590E73" w:rsidRDefault="00321F90" w:rsidP="00321F90">
            <w:pPr>
              <w:cnfStyle w:val="000000100000" w:firstRow="0" w:lastRow="0" w:firstColumn="0" w:lastColumn="0" w:oddVBand="0" w:evenVBand="0" w:oddHBand="1" w:evenHBand="0" w:firstRowFirstColumn="0" w:firstRowLastColumn="0" w:lastRowFirstColumn="0" w:lastRowLastColumn="0"/>
              <w:rPr>
                <w:rFonts w:ascii="Montserrat" w:hAnsi="Montserrat"/>
                <w:b/>
                <w:szCs w:val="22"/>
              </w:rPr>
            </w:pPr>
            <w:r w:rsidRPr="00590E73">
              <w:rPr>
                <w:rFonts w:ascii="Montserrat" w:hAnsi="Montserrat"/>
                <w:b/>
                <w:szCs w:val="22"/>
              </w:rPr>
              <w:t>Handbook, Policy Website</w:t>
            </w:r>
          </w:p>
        </w:tc>
      </w:tr>
    </w:tbl>
    <w:p w14:paraId="6E877252" w14:textId="0AFB4DBE" w:rsidR="00840253" w:rsidRPr="00590E73" w:rsidRDefault="00840253">
      <w:pPr>
        <w:rPr>
          <w:rFonts w:ascii="Montserrat" w:hAnsi="Montserrat"/>
          <w:b/>
          <w:szCs w:val="22"/>
        </w:rPr>
      </w:pPr>
    </w:p>
    <w:p w14:paraId="65E221AD" w14:textId="77777777" w:rsidR="00840253" w:rsidRDefault="00840253" w:rsidP="00840253">
      <w:pPr>
        <w:pBdr>
          <w:bottom w:val="single" w:sz="24" w:space="1" w:color="auto"/>
        </w:pBdr>
        <w:rPr>
          <w:rFonts w:ascii="Times New Roman" w:hAnsi="Times New Roman"/>
          <w:b/>
          <w:sz w:val="20"/>
        </w:rPr>
      </w:pPr>
    </w:p>
    <w:p w14:paraId="40D57C44" w14:textId="59C96276" w:rsidR="009C72B0" w:rsidRDefault="00985ECD" w:rsidP="00840253">
      <w:pPr>
        <w:ind w:left="720" w:firstLine="720"/>
        <w:rPr>
          <w:rFonts w:ascii="Times New Roman" w:hAnsi="Times New Roman"/>
          <w:b/>
          <w:sz w:val="20"/>
        </w:rPr>
      </w:pPr>
      <w:r>
        <w:rPr>
          <w:rFonts w:ascii="Times New Roman" w:hAnsi="Times New Roman"/>
          <w:b/>
          <w:sz w:val="20"/>
        </w:rPr>
        <w:tab/>
        <w:t xml:space="preserve"> </w:t>
      </w:r>
      <w:r w:rsidR="00527182">
        <w:rPr>
          <w:rFonts w:ascii="Times New Roman" w:hAnsi="Times New Roman"/>
          <w:b/>
          <w:sz w:val="20"/>
        </w:rPr>
        <w:tab/>
      </w:r>
      <w:r w:rsidR="009C72B0">
        <w:rPr>
          <w:rFonts w:ascii="Times New Roman" w:hAnsi="Times New Roman"/>
          <w:b/>
          <w:sz w:val="20"/>
        </w:rPr>
        <w:tab/>
      </w:r>
      <w:r w:rsidR="009C72B0">
        <w:rPr>
          <w:rFonts w:ascii="Times New Roman" w:hAnsi="Times New Roman"/>
          <w:b/>
          <w:sz w:val="20"/>
        </w:rPr>
        <w:tab/>
      </w:r>
      <w:r w:rsidR="009C72B0">
        <w:rPr>
          <w:rFonts w:ascii="Times New Roman" w:hAnsi="Times New Roman"/>
          <w:b/>
          <w:sz w:val="20"/>
        </w:rPr>
        <w:tab/>
      </w:r>
      <w:r w:rsidR="00DD43B5">
        <w:rPr>
          <w:rFonts w:ascii="Times New Roman" w:hAnsi="Times New Roman"/>
          <w:b/>
          <w:sz w:val="20"/>
        </w:rPr>
        <w:tab/>
      </w:r>
      <w:r w:rsidR="00DD43B5">
        <w:rPr>
          <w:rFonts w:ascii="Times New Roman" w:hAnsi="Times New Roman"/>
          <w:b/>
          <w:sz w:val="20"/>
        </w:rPr>
        <w:tab/>
      </w:r>
      <w:r w:rsidR="00DD43B5">
        <w:rPr>
          <w:rFonts w:ascii="Times New Roman" w:hAnsi="Times New Roman"/>
          <w:b/>
          <w:sz w:val="20"/>
        </w:rPr>
        <w:tab/>
      </w:r>
      <w:r w:rsidR="00DD43B5">
        <w:rPr>
          <w:rFonts w:ascii="Times New Roman" w:hAnsi="Times New Roman"/>
          <w:b/>
          <w:sz w:val="20"/>
        </w:rPr>
        <w:tab/>
      </w:r>
    </w:p>
    <w:p w14:paraId="1793BB4D" w14:textId="3E9023C9" w:rsidR="00321F90" w:rsidRPr="00321F90" w:rsidRDefault="009C72B0" w:rsidP="00CB5975">
      <w:pPr>
        <w:spacing w:after="86"/>
        <w:jc w:val="both"/>
        <w:rPr>
          <w:rFonts w:ascii="Times New Roman" w:hAnsi="Times New Roman"/>
          <w:color w:val="272425"/>
          <w:szCs w:val="22"/>
          <w:shd w:val="clear" w:color="auto" w:fill="FFFFFF"/>
        </w:rPr>
      </w:pPr>
      <w:r w:rsidRPr="00840253">
        <w:rPr>
          <w:rFonts w:ascii="Times New Roman" w:hAnsi="Times New Roman"/>
          <w:b/>
        </w:rPr>
        <w:t>Purpose:</w:t>
      </w:r>
      <w:r w:rsidR="00CB5975">
        <w:rPr>
          <w:rFonts w:ascii="Times New Roman" w:hAnsi="Times New Roman"/>
          <w:b/>
        </w:rPr>
        <w:t xml:space="preserve"> </w:t>
      </w:r>
      <w:r w:rsidR="00CB5975" w:rsidRPr="00CB5975">
        <w:rPr>
          <w:rFonts w:ascii="Times New Roman" w:hAnsi="Times New Roman"/>
          <w:color w:val="272425"/>
          <w:szCs w:val="22"/>
          <w:shd w:val="clear" w:color="auto" w:fill="FFFFFF"/>
        </w:rPr>
        <w:t xml:space="preserve">This policy was created to explain student grade appeals </w:t>
      </w:r>
      <w:r w:rsidR="00CB5975">
        <w:rPr>
          <w:rFonts w:ascii="Times New Roman" w:hAnsi="Times New Roman"/>
          <w:color w:val="272425"/>
          <w:szCs w:val="22"/>
          <w:shd w:val="clear" w:color="auto" w:fill="FFFFFF"/>
        </w:rPr>
        <w:t>process</w:t>
      </w:r>
      <w:r w:rsidR="00321F90" w:rsidRPr="00321F90">
        <w:rPr>
          <w:rFonts w:ascii="Times New Roman" w:hAnsi="Times New Roman"/>
          <w:color w:val="272425"/>
          <w:szCs w:val="22"/>
          <w:shd w:val="clear" w:color="auto" w:fill="FFFFFF"/>
        </w:rPr>
        <w:t>. </w:t>
      </w:r>
    </w:p>
    <w:p w14:paraId="517D928D" w14:textId="181E5DEB" w:rsidR="00321F90" w:rsidRPr="00321F90" w:rsidRDefault="00321F90" w:rsidP="00CC6EED">
      <w:pPr>
        <w:spacing w:after="86"/>
        <w:jc w:val="both"/>
        <w:rPr>
          <w:rFonts w:ascii="Times New Roman" w:hAnsi="Times New Roman"/>
          <w:color w:val="272425"/>
          <w:szCs w:val="22"/>
          <w:shd w:val="clear" w:color="auto" w:fill="FFFFFF"/>
        </w:rPr>
      </w:pPr>
    </w:p>
    <w:p w14:paraId="20760E77" w14:textId="77777777" w:rsidR="00321F90" w:rsidRPr="00321F90" w:rsidRDefault="00321F90" w:rsidP="00321F90">
      <w:pPr>
        <w:pStyle w:val="NormalWeb"/>
        <w:spacing w:before="0" w:beforeAutospacing="0" w:after="0" w:afterAutospacing="0"/>
        <w:rPr>
          <w:b/>
          <w:sz w:val="22"/>
          <w:szCs w:val="20"/>
        </w:rPr>
      </w:pPr>
      <w:r w:rsidRPr="00321F90">
        <w:rPr>
          <w:b/>
          <w:sz w:val="22"/>
          <w:szCs w:val="20"/>
        </w:rPr>
        <w:t>Policy:</w:t>
      </w:r>
    </w:p>
    <w:p w14:paraId="493EB5D0" w14:textId="77777777" w:rsidR="00CB5975" w:rsidRPr="00CB5975" w:rsidRDefault="00CB5975" w:rsidP="00CB5975">
      <w:pPr>
        <w:pStyle w:val="NormalWeb"/>
        <w:spacing w:line="360" w:lineRule="auto"/>
        <w:rPr>
          <w:color w:val="272425"/>
          <w:sz w:val="22"/>
          <w:szCs w:val="22"/>
          <w:shd w:val="clear" w:color="auto" w:fill="FFFFFF"/>
        </w:rPr>
      </w:pPr>
      <w:r w:rsidRPr="00CB5975">
        <w:rPr>
          <w:color w:val="272425"/>
          <w:sz w:val="22"/>
          <w:szCs w:val="22"/>
          <w:shd w:val="clear" w:color="auto" w:fill="FFFFFF"/>
        </w:rPr>
        <w:t>Foundation Years</w:t>
      </w:r>
    </w:p>
    <w:p w14:paraId="05D1C7FB" w14:textId="77777777" w:rsidR="00CB5975" w:rsidRPr="00CB5975" w:rsidRDefault="00CB5975" w:rsidP="00CB5975">
      <w:pPr>
        <w:pStyle w:val="NormalWeb"/>
        <w:spacing w:line="360" w:lineRule="auto"/>
        <w:rPr>
          <w:color w:val="272425"/>
          <w:sz w:val="22"/>
          <w:szCs w:val="22"/>
          <w:shd w:val="clear" w:color="auto" w:fill="FFFFFF"/>
        </w:rPr>
      </w:pPr>
      <w:r w:rsidRPr="00CB5975">
        <w:rPr>
          <w:color w:val="272425"/>
          <w:sz w:val="22"/>
          <w:szCs w:val="22"/>
          <w:shd w:val="clear" w:color="auto" w:fill="FFFFFF"/>
        </w:rPr>
        <w:t xml:space="preserve">A student who is dissatisfied with a grade received in the Unit summative assessments should first attempt to resolve the matter by meeting with the Unit director. If the student, after attempting such a resolution, is still not convinced that the grade reflects accurate and fair assessment, s/he has the right to appeal the grade. To initiate the grade </w:t>
      </w:r>
      <w:proofErr w:type="gramStart"/>
      <w:r w:rsidRPr="00CB5975">
        <w:rPr>
          <w:color w:val="272425"/>
          <w:sz w:val="22"/>
          <w:szCs w:val="22"/>
          <w:shd w:val="clear" w:color="auto" w:fill="FFFFFF"/>
        </w:rPr>
        <w:t>appeal</w:t>
      </w:r>
      <w:proofErr w:type="gramEnd"/>
      <w:r w:rsidRPr="00CB5975">
        <w:rPr>
          <w:color w:val="272425"/>
          <w:sz w:val="22"/>
          <w:szCs w:val="22"/>
          <w:shd w:val="clear" w:color="auto" w:fill="FFFFFF"/>
        </w:rPr>
        <w:t xml:space="preserve"> process the student must submit a formal written appeal to the Associate Dean for Foundations of Medicine. The Associate Dean for Foundations of Medicine may direct the appeal review of the grade in the competency of Patient Care to the Associate Dean for Clinical Competencies. The appeal of a grade received in Gateway 1 or Gateway 2 must be submitted to the Associate Dean for Clinical Competencies and copied to the Associate Dean for Foundations of Medicine. The student must submit the written appeal within the ten (10) business days from receiving his/her grades. The student is also provided with an opportunity to discuss his/her grade appeal with the Associate Dean. Upon completion of the grade appeal review, the student is notified of the final decision of the Associate Dean within ten (10) business days of his/her grade appeal submission or meeting with the Associate Dean, whichever comes last. The notification is also copied to the Associate Dean for Student &amp; Curricular Affairs and the Associate Dean and Director of Assessments.</w:t>
      </w:r>
    </w:p>
    <w:p w14:paraId="5BF18C5F" w14:textId="77777777" w:rsidR="00CB5975" w:rsidRPr="00CB5975" w:rsidRDefault="00CB5975" w:rsidP="00CB5975">
      <w:pPr>
        <w:pStyle w:val="NormalWeb"/>
        <w:spacing w:line="360" w:lineRule="auto"/>
        <w:rPr>
          <w:color w:val="272425"/>
          <w:sz w:val="22"/>
          <w:szCs w:val="22"/>
          <w:shd w:val="clear" w:color="auto" w:fill="FFFFFF"/>
        </w:rPr>
      </w:pPr>
      <w:r w:rsidRPr="00CB5975">
        <w:rPr>
          <w:color w:val="272425"/>
          <w:sz w:val="22"/>
          <w:szCs w:val="22"/>
          <w:shd w:val="clear" w:color="auto" w:fill="FFFFFF"/>
        </w:rPr>
        <w:t>Clinical Years</w:t>
      </w:r>
    </w:p>
    <w:p w14:paraId="5CA30E73" w14:textId="77777777" w:rsidR="00CB5975" w:rsidRPr="00CB5975" w:rsidRDefault="00CB5975" w:rsidP="00CB5975">
      <w:pPr>
        <w:pStyle w:val="NormalWeb"/>
        <w:spacing w:line="360" w:lineRule="auto"/>
        <w:rPr>
          <w:color w:val="272425"/>
          <w:sz w:val="22"/>
          <w:szCs w:val="22"/>
          <w:shd w:val="clear" w:color="auto" w:fill="FFFFFF"/>
        </w:rPr>
      </w:pPr>
      <w:r w:rsidRPr="00CB5975">
        <w:rPr>
          <w:color w:val="272425"/>
          <w:sz w:val="22"/>
          <w:szCs w:val="22"/>
          <w:shd w:val="clear" w:color="auto" w:fill="FFFFFF"/>
        </w:rPr>
        <w:lastRenderedPageBreak/>
        <w:t>If a student disagrees with a preceptor`s evaluation or wishes to question the final clerkship course evaluation, the student must first contact and meet with the clerkship director or designee. Students are NOT permitted to approach their individual preceptors, site directors, attendings or resident supervisors to attempt to get clarification or a grade change.</w:t>
      </w:r>
    </w:p>
    <w:p w14:paraId="766E27DE" w14:textId="1491C7F0" w:rsidR="00CB5975" w:rsidRPr="00CB5975" w:rsidRDefault="00CB5975" w:rsidP="00CB5975">
      <w:pPr>
        <w:pStyle w:val="NormalWeb"/>
        <w:spacing w:line="360" w:lineRule="auto"/>
        <w:rPr>
          <w:color w:val="272425"/>
          <w:sz w:val="22"/>
          <w:szCs w:val="22"/>
          <w:shd w:val="clear" w:color="auto" w:fill="FFFFFF"/>
        </w:rPr>
      </w:pPr>
      <w:r w:rsidRPr="00CB5975">
        <w:rPr>
          <w:color w:val="272425"/>
          <w:sz w:val="22"/>
          <w:szCs w:val="22"/>
          <w:shd w:val="clear" w:color="auto" w:fill="FFFFFF"/>
        </w:rPr>
        <w:t xml:space="preserve">If there still remains a concern, the student should schedule a meeting with the Associate Dean for Medical Education. The Associate Dean will record the student`s concern and then meet with the clerkship director to review the case. The Associate Dean`s decision will be final. A student has ONE MONTH after their official grade from a clerkship is received by the Office of the Registrar to challenge a grade with the clerkship director. After this </w:t>
      </w:r>
      <w:bookmarkStart w:id="0" w:name="_GoBack"/>
      <w:bookmarkEnd w:id="0"/>
      <w:r w:rsidR="00495D45" w:rsidRPr="00CB5975">
        <w:rPr>
          <w:color w:val="272425"/>
          <w:sz w:val="22"/>
          <w:szCs w:val="22"/>
          <w:shd w:val="clear" w:color="auto" w:fill="FFFFFF"/>
        </w:rPr>
        <w:t>one-month</w:t>
      </w:r>
      <w:r w:rsidRPr="00CB5975">
        <w:rPr>
          <w:color w:val="272425"/>
          <w:sz w:val="22"/>
          <w:szCs w:val="22"/>
          <w:shd w:val="clear" w:color="auto" w:fill="FFFFFF"/>
        </w:rPr>
        <w:t xml:space="preserve"> deadline, if the student has not </w:t>
      </w:r>
      <w:proofErr w:type="gramStart"/>
      <w:r w:rsidRPr="00CB5975">
        <w:rPr>
          <w:color w:val="272425"/>
          <w:sz w:val="22"/>
          <w:szCs w:val="22"/>
          <w:shd w:val="clear" w:color="auto" w:fill="FFFFFF"/>
        </w:rPr>
        <w:t>made contact with</w:t>
      </w:r>
      <w:proofErr w:type="gramEnd"/>
      <w:r w:rsidRPr="00CB5975">
        <w:rPr>
          <w:color w:val="272425"/>
          <w:sz w:val="22"/>
          <w:szCs w:val="22"/>
          <w:shd w:val="clear" w:color="auto" w:fill="FFFFFF"/>
        </w:rPr>
        <w:t xml:space="preserve"> the clerkship director regarding their grade, the grade and evaluation comments are considered final and NO changes can be made. If the clerkship director does not respond to the student within that month period, it is the responsibility of the student to contact the Associate Dean for Medical Education to inform them before the </w:t>
      </w:r>
      <w:r w:rsidR="00495D45" w:rsidRPr="00CB5975">
        <w:rPr>
          <w:color w:val="272425"/>
          <w:sz w:val="22"/>
          <w:szCs w:val="22"/>
          <w:shd w:val="clear" w:color="auto" w:fill="FFFFFF"/>
        </w:rPr>
        <w:t>one-month</w:t>
      </w:r>
      <w:r w:rsidRPr="00CB5975">
        <w:rPr>
          <w:color w:val="272425"/>
          <w:sz w:val="22"/>
          <w:szCs w:val="22"/>
          <w:shd w:val="clear" w:color="auto" w:fill="FFFFFF"/>
        </w:rPr>
        <w:t xml:space="preserve"> period elapses. Written and/or electronic verification of attempted contact(s) and any correspondence between student and clerkship director will be required.</w:t>
      </w:r>
    </w:p>
    <w:p w14:paraId="2BF3BADD" w14:textId="7AFC6489" w:rsidR="00052AB7" w:rsidRPr="00ED2458" w:rsidRDefault="00CB5975" w:rsidP="00CB5975">
      <w:pPr>
        <w:pStyle w:val="NormalWeb"/>
        <w:spacing w:before="0" w:beforeAutospacing="0" w:line="360" w:lineRule="auto"/>
      </w:pPr>
      <w:r w:rsidRPr="00CB5975">
        <w:rPr>
          <w:color w:val="272425"/>
          <w:sz w:val="22"/>
          <w:szCs w:val="22"/>
          <w:shd w:val="clear" w:color="auto" w:fill="FFFFFF"/>
        </w:rPr>
        <w:t>In the rare event that a student feels they are being subjected to mistreatment or bias on a consistent basis by someone who will grade them, the student has the option of requesting that the supervisor in question not be allowed to grade or assess them.  In such a circumstance the student must notify the Associate Dean for Medical Education of the situation before any grading activity for the clerkship has begun. The student must meet with the Associate Dean and explain in person the basis of their complaint. The information will be held in confidence until all grades are submitted to the Clerkship Director and final grades are calculated. After the grade is finalized, the Associate Dean will investigate the complaint in a timely manner. If a reasonable likelihood of significant bias or mistreatment is confirmed, that supervisor`s grade/assessment/comment will be removed from the student`s record and the final grade will be reassessed by the clerkship director. Whether the supervisor in question is informed about the grade change is a decision to be made jointly by the student, the clerkship director and the Associate Dean for Medical Education</w:t>
      </w:r>
    </w:p>
    <w:sectPr w:rsidR="00052AB7" w:rsidRPr="00ED2458">
      <w:headerReference w:type="default" r:id="rId10"/>
      <w:footerReference w:type="even" r:id="rId11"/>
      <w:footerReference w:type="default" r:id="rId12"/>
      <w:pgSz w:w="12240" w:h="15840"/>
      <w:pgMar w:top="1008" w:right="1152" w:bottom="1008" w:left="1152" w:header="720" w:footer="720" w:gutter="0"/>
      <w:cols w:space="720"/>
      <w:docGrid w:linePitch="7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4D5C86" w14:textId="77777777" w:rsidR="00856A20" w:rsidRDefault="00856A20">
      <w:r>
        <w:separator/>
      </w:r>
    </w:p>
  </w:endnote>
  <w:endnote w:type="continuationSeparator" w:id="0">
    <w:p w14:paraId="03D1D270" w14:textId="77777777" w:rsidR="00856A20" w:rsidRDefault="00856A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ontserrat">
    <w:panose1 w:val="00000500000000000000"/>
    <w:charset w:val="00"/>
    <w:family w:val="auto"/>
    <w:pitch w:val="variable"/>
    <w:sig w:usb0="2000020F" w:usb1="00000003" w:usb2="00000000" w:usb3="00000000" w:csb0="00000197"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5DB6A1" w14:textId="77777777" w:rsidR="00161933" w:rsidRDefault="0016193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2C340599" w14:textId="77777777" w:rsidR="00161933" w:rsidRDefault="0016193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9A422A" w14:textId="0F497894" w:rsidR="00161933" w:rsidRDefault="0016193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433C9">
      <w:rPr>
        <w:rStyle w:val="PageNumber"/>
        <w:noProof/>
      </w:rPr>
      <w:t>2</w:t>
    </w:r>
    <w:r>
      <w:rPr>
        <w:rStyle w:val="PageNumber"/>
      </w:rPr>
      <w:fldChar w:fldCharType="end"/>
    </w:r>
  </w:p>
  <w:p w14:paraId="2AE9028D" w14:textId="5F7CD534" w:rsidR="00161933" w:rsidRDefault="00CB5975">
    <w:pPr>
      <w:pStyle w:val="Footer"/>
      <w:ind w:right="360"/>
      <w:rPr>
        <w:sz w:val="16"/>
      </w:rPr>
    </w:pPr>
    <w:r>
      <w:rPr>
        <w:sz w:val="16"/>
      </w:rPr>
      <w:t>February 18, 2020</w:t>
    </w:r>
    <w:r w:rsidR="00161933">
      <w:rPr>
        <w:sz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7A2275" w14:textId="77777777" w:rsidR="00856A20" w:rsidRDefault="00856A20">
      <w:r>
        <w:separator/>
      </w:r>
    </w:p>
  </w:footnote>
  <w:footnote w:type="continuationSeparator" w:id="0">
    <w:p w14:paraId="208CA8BF" w14:textId="77777777" w:rsidR="00856A20" w:rsidRDefault="00856A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7E5D3B" w14:textId="47EEA368" w:rsidR="00840253" w:rsidRDefault="00840253" w:rsidP="00840253">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80E8D62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C9B59B0"/>
    <w:multiLevelType w:val="hybridMultilevel"/>
    <w:tmpl w:val="FB3CE44A"/>
    <w:lvl w:ilvl="0" w:tplc="86807A9C">
      <w:start w:val="1"/>
      <w:numFmt w:val="upperRoman"/>
      <w:lvlText w:val="%1."/>
      <w:lvlJc w:val="right"/>
      <w:pPr>
        <w:tabs>
          <w:tab w:val="num" w:pos="648"/>
        </w:tabs>
        <w:ind w:left="648" w:hanging="360"/>
      </w:pPr>
      <w:rPr>
        <w:rFonts w:hint="default"/>
        <w:b/>
        <w:i w:val="0"/>
        <w:color w:val="auto"/>
      </w:rPr>
    </w:lvl>
    <w:lvl w:ilvl="1" w:tplc="22D84552">
      <w:start w:val="1"/>
      <w:numFmt w:val="decimal"/>
      <w:lvlText w:val="%2."/>
      <w:lvlJc w:val="left"/>
      <w:pPr>
        <w:tabs>
          <w:tab w:val="num" w:pos="1080"/>
        </w:tabs>
        <w:ind w:left="1080" w:hanging="360"/>
      </w:pPr>
      <w:rPr>
        <w:rFonts w:hint="default"/>
        <w:b w:val="0"/>
        <w:i w:val="0"/>
        <w:color w:val="auto"/>
      </w:rPr>
    </w:lvl>
    <w:lvl w:ilvl="2" w:tplc="DAC673D4" w:tentative="1">
      <w:start w:val="1"/>
      <w:numFmt w:val="lowerRoman"/>
      <w:lvlText w:val="%3."/>
      <w:lvlJc w:val="right"/>
      <w:pPr>
        <w:tabs>
          <w:tab w:val="num" w:pos="2160"/>
        </w:tabs>
        <w:ind w:left="2160" w:hanging="180"/>
      </w:pPr>
    </w:lvl>
    <w:lvl w:ilvl="3" w:tplc="162051B6" w:tentative="1">
      <w:start w:val="1"/>
      <w:numFmt w:val="decimal"/>
      <w:lvlText w:val="%4."/>
      <w:lvlJc w:val="left"/>
      <w:pPr>
        <w:tabs>
          <w:tab w:val="num" w:pos="2880"/>
        </w:tabs>
        <w:ind w:left="2880" w:hanging="360"/>
      </w:pPr>
    </w:lvl>
    <w:lvl w:ilvl="4" w:tplc="40BE22D6" w:tentative="1">
      <w:start w:val="1"/>
      <w:numFmt w:val="lowerLetter"/>
      <w:lvlText w:val="%5."/>
      <w:lvlJc w:val="left"/>
      <w:pPr>
        <w:tabs>
          <w:tab w:val="num" w:pos="3600"/>
        </w:tabs>
        <w:ind w:left="3600" w:hanging="360"/>
      </w:pPr>
    </w:lvl>
    <w:lvl w:ilvl="5" w:tplc="E4E48A96" w:tentative="1">
      <w:start w:val="1"/>
      <w:numFmt w:val="lowerRoman"/>
      <w:lvlText w:val="%6."/>
      <w:lvlJc w:val="right"/>
      <w:pPr>
        <w:tabs>
          <w:tab w:val="num" w:pos="4320"/>
        </w:tabs>
        <w:ind w:left="4320" w:hanging="180"/>
      </w:pPr>
    </w:lvl>
    <w:lvl w:ilvl="6" w:tplc="07D85768" w:tentative="1">
      <w:start w:val="1"/>
      <w:numFmt w:val="decimal"/>
      <w:lvlText w:val="%7."/>
      <w:lvlJc w:val="left"/>
      <w:pPr>
        <w:tabs>
          <w:tab w:val="num" w:pos="5040"/>
        </w:tabs>
        <w:ind w:left="5040" w:hanging="360"/>
      </w:pPr>
    </w:lvl>
    <w:lvl w:ilvl="7" w:tplc="B180F464" w:tentative="1">
      <w:start w:val="1"/>
      <w:numFmt w:val="lowerLetter"/>
      <w:lvlText w:val="%8."/>
      <w:lvlJc w:val="left"/>
      <w:pPr>
        <w:tabs>
          <w:tab w:val="num" w:pos="5760"/>
        </w:tabs>
        <w:ind w:left="5760" w:hanging="360"/>
      </w:pPr>
    </w:lvl>
    <w:lvl w:ilvl="8" w:tplc="6694CEC6" w:tentative="1">
      <w:start w:val="1"/>
      <w:numFmt w:val="lowerRoman"/>
      <w:lvlText w:val="%9."/>
      <w:lvlJc w:val="right"/>
      <w:pPr>
        <w:tabs>
          <w:tab w:val="num" w:pos="6480"/>
        </w:tabs>
        <w:ind w:left="6480" w:hanging="180"/>
      </w:pPr>
    </w:lvl>
  </w:abstractNum>
  <w:num w:numId="1">
    <w:abstractNumId w:val="1"/>
  </w:num>
  <w:num w:numId="2">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26"/>
  <w:drawingGridVerticalSpacing w:val="71"/>
  <w:displayHorizontalDrawingGridEvery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0ED9"/>
    <w:rsid w:val="00052AB7"/>
    <w:rsid w:val="00065BC1"/>
    <w:rsid w:val="0008684E"/>
    <w:rsid w:val="00094CAC"/>
    <w:rsid w:val="001115BC"/>
    <w:rsid w:val="00142C5E"/>
    <w:rsid w:val="00161933"/>
    <w:rsid w:val="001A0C9A"/>
    <w:rsid w:val="002704EA"/>
    <w:rsid w:val="002B7310"/>
    <w:rsid w:val="002D6377"/>
    <w:rsid w:val="00321F90"/>
    <w:rsid w:val="004428FB"/>
    <w:rsid w:val="00495D45"/>
    <w:rsid w:val="005036D2"/>
    <w:rsid w:val="00527182"/>
    <w:rsid w:val="00590E73"/>
    <w:rsid w:val="006B05EE"/>
    <w:rsid w:val="006B1327"/>
    <w:rsid w:val="007418FE"/>
    <w:rsid w:val="00840253"/>
    <w:rsid w:val="008433C9"/>
    <w:rsid w:val="00856A20"/>
    <w:rsid w:val="008E6363"/>
    <w:rsid w:val="00932C33"/>
    <w:rsid w:val="0094202F"/>
    <w:rsid w:val="009853BE"/>
    <w:rsid w:val="00985ECD"/>
    <w:rsid w:val="009A489E"/>
    <w:rsid w:val="009C72B0"/>
    <w:rsid w:val="00A16AE4"/>
    <w:rsid w:val="00A51235"/>
    <w:rsid w:val="00A51B67"/>
    <w:rsid w:val="00B2216F"/>
    <w:rsid w:val="00B641BE"/>
    <w:rsid w:val="00B763BB"/>
    <w:rsid w:val="00C44133"/>
    <w:rsid w:val="00C84372"/>
    <w:rsid w:val="00CB5975"/>
    <w:rsid w:val="00CC6EED"/>
    <w:rsid w:val="00D0672F"/>
    <w:rsid w:val="00D823E9"/>
    <w:rsid w:val="00DD04BB"/>
    <w:rsid w:val="00DD43B5"/>
    <w:rsid w:val="00E30D8F"/>
    <w:rsid w:val="00ED2458"/>
    <w:rsid w:val="00F60ED9"/>
    <w:rsid w:val="00FE28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5E693985"/>
  <w15:docId w15:val="{97A0DE7B-20ED-40F6-8D90-EDC8F2869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hAnsi="Arial"/>
      <w:sz w:val="22"/>
    </w:rPr>
  </w:style>
  <w:style w:type="paragraph" w:styleId="Heading1">
    <w:name w:val="heading 1"/>
    <w:basedOn w:val="Normal"/>
    <w:next w:val="Normal"/>
    <w:qFormat/>
    <w:pPr>
      <w:keepNext/>
      <w:ind w:left="5040" w:firstLine="720"/>
      <w:jc w:val="center"/>
      <w:outlineLvl w:val="0"/>
    </w:pPr>
    <w:rPr>
      <w:b/>
      <w:sz w:val="20"/>
    </w:rPr>
  </w:style>
  <w:style w:type="paragraph" w:styleId="Heading2">
    <w:name w:val="heading 2"/>
    <w:basedOn w:val="Normal"/>
    <w:next w:val="Normal"/>
    <w:link w:val="Heading2Char"/>
    <w:uiPriority w:val="9"/>
    <w:unhideWhenUsed/>
    <w:qFormat/>
    <w:rsid w:val="00840253"/>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FootnoteText">
    <w:name w:val="footnote text"/>
    <w:basedOn w:val="Normal"/>
    <w:semiHidden/>
    <w:rPr>
      <w:sz w:val="20"/>
    </w:rPr>
  </w:style>
  <w:style w:type="character" w:styleId="FootnoteReference">
    <w:name w:val="footnote reference"/>
    <w:semiHidden/>
    <w:rPr>
      <w:vertAlign w:val="superscript"/>
    </w:rPr>
  </w:style>
  <w:style w:type="character" w:styleId="PageNumber">
    <w:name w:val="page number"/>
    <w:basedOn w:val="DefaultParagraphFont"/>
    <w:semiHidden/>
  </w:style>
  <w:style w:type="paragraph" w:styleId="ListParagraph">
    <w:name w:val="List Paragraph"/>
    <w:basedOn w:val="Normal"/>
    <w:uiPriority w:val="72"/>
    <w:rsid w:val="00B641BE"/>
    <w:pPr>
      <w:ind w:left="720"/>
      <w:contextualSpacing/>
    </w:pPr>
  </w:style>
  <w:style w:type="table" w:styleId="TableGrid">
    <w:name w:val="Table Grid"/>
    <w:basedOn w:val="TableNormal"/>
    <w:uiPriority w:val="59"/>
    <w:rsid w:val="008402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3">
    <w:name w:val="Plain Table 3"/>
    <w:basedOn w:val="TableNormal"/>
    <w:uiPriority w:val="99"/>
    <w:rsid w:val="00840253"/>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Heading2Char">
    <w:name w:val="Heading 2 Char"/>
    <w:basedOn w:val="DefaultParagraphFont"/>
    <w:link w:val="Heading2"/>
    <w:uiPriority w:val="9"/>
    <w:rsid w:val="00840253"/>
    <w:rPr>
      <w:rFonts w:asciiTheme="majorHAnsi" w:eastAsiaTheme="majorEastAsia" w:hAnsiTheme="majorHAnsi" w:cstheme="majorBidi"/>
      <w:color w:val="365F91" w:themeColor="accent1" w:themeShade="BF"/>
      <w:sz w:val="26"/>
      <w:szCs w:val="26"/>
    </w:rPr>
  </w:style>
  <w:style w:type="character" w:styleId="SubtleEmphasis">
    <w:name w:val="Subtle Emphasis"/>
    <w:basedOn w:val="DefaultParagraphFont"/>
    <w:uiPriority w:val="19"/>
    <w:qFormat/>
    <w:rsid w:val="00840253"/>
    <w:rPr>
      <w:i/>
      <w:iCs/>
      <w:color w:val="404040" w:themeColor="text1" w:themeTint="BF"/>
    </w:rPr>
  </w:style>
  <w:style w:type="table" w:styleId="PlainTable4">
    <w:name w:val="Plain Table 4"/>
    <w:basedOn w:val="TableNormal"/>
    <w:uiPriority w:val="99"/>
    <w:rsid w:val="00840253"/>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Title">
    <w:name w:val="Title"/>
    <w:basedOn w:val="Normal"/>
    <w:next w:val="Normal"/>
    <w:link w:val="TitleChar"/>
    <w:uiPriority w:val="10"/>
    <w:qFormat/>
    <w:rsid w:val="00065BC1"/>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65BC1"/>
    <w:rPr>
      <w:rFonts w:asciiTheme="majorHAnsi" w:eastAsiaTheme="majorEastAsia" w:hAnsiTheme="majorHAnsi" w:cstheme="majorBidi"/>
      <w:spacing w:val="-10"/>
      <w:kern w:val="28"/>
      <w:sz w:val="56"/>
      <w:szCs w:val="56"/>
    </w:rPr>
  </w:style>
  <w:style w:type="paragraph" w:styleId="NormalWeb">
    <w:name w:val="Normal (Web)"/>
    <w:basedOn w:val="Normal"/>
    <w:uiPriority w:val="99"/>
    <w:rsid w:val="00321F90"/>
    <w:pPr>
      <w:spacing w:before="100" w:beforeAutospacing="1" w:after="100" w:afterAutospacing="1"/>
    </w:pPr>
    <w:rPr>
      <w:rFonts w:ascii="Times New Roman" w:hAnsi="Times New Roman"/>
      <w:sz w:val="24"/>
      <w:szCs w:val="24"/>
    </w:rPr>
  </w:style>
  <w:style w:type="paragraph" w:styleId="BalloonText">
    <w:name w:val="Balloon Text"/>
    <w:basedOn w:val="Normal"/>
    <w:link w:val="BalloonTextChar"/>
    <w:uiPriority w:val="99"/>
    <w:semiHidden/>
    <w:unhideWhenUsed/>
    <w:rsid w:val="00D823E9"/>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D823E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685989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1FE8DCF16961A479FE834523BA27E86" ma:contentTypeVersion="14" ma:contentTypeDescription="Create a new document." ma:contentTypeScope="" ma:versionID="4e286bb09ea335ba9fce1c2c04dafe6e">
  <xsd:schema xmlns:xsd="http://www.w3.org/2001/XMLSchema" xmlns:xs="http://www.w3.org/2001/XMLSchema" xmlns:p="http://schemas.microsoft.com/office/2006/metadata/properties" xmlns:ns3="04524c3e-8908-466a-819c-b678b42d7ee4" xmlns:ns4="5438aeec-dcb5-406c-96cc-83e0291ed53e" targetNamespace="http://schemas.microsoft.com/office/2006/metadata/properties" ma:root="true" ma:fieldsID="e036411bf266162285341046654f457b" ns3:_="" ns4:_="">
    <xsd:import namespace="04524c3e-8908-466a-819c-b678b42d7ee4"/>
    <xsd:import namespace="5438aeec-dcb5-406c-96cc-83e0291ed53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AutoKeyPoints" minOccurs="0"/>
                <xsd:element ref="ns4:MediaServiceKeyPoints" minOccurs="0"/>
                <xsd:element ref="ns4:MediaServiceDateTaken" minOccurs="0"/>
                <xsd:element ref="ns4:MediaServiceOCR" minOccurs="0"/>
                <xsd:element ref="ns4:MediaServiceLocatio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524c3e-8908-466a-819c-b678b42d7ee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438aeec-dcb5-406c-96cc-83e0291ed53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0AD7B36-D6EB-4227-9FF9-8E0857CBB4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524c3e-8908-466a-819c-b678b42d7ee4"/>
    <ds:schemaRef ds:uri="5438aeec-dcb5-406c-96cc-83e0291ed5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F907906-E3A1-4422-A83B-F1EFB9D4E383}">
  <ds:schemaRefs>
    <ds:schemaRef ds:uri="http://schemas.microsoft.com/sharepoint/v3/contenttype/forms"/>
  </ds:schemaRefs>
</ds:datastoreItem>
</file>

<file path=customXml/itemProps3.xml><?xml version="1.0" encoding="utf-8"?>
<ds:datastoreItem xmlns:ds="http://schemas.openxmlformats.org/officeDocument/2006/customXml" ds:itemID="{A7D97F8C-019F-4087-81AD-AE3EDF5BB9FA}">
  <ds:schemaRefs>
    <ds:schemaRef ds:uri="http://purl.org/dc/elements/1.1/"/>
    <ds:schemaRef ds:uri="http://schemas.microsoft.com/office/2006/metadata/properties"/>
    <ds:schemaRef ds:uri="04524c3e-8908-466a-819c-b678b42d7ee4"/>
    <ds:schemaRef ds:uri="5438aeec-dcb5-406c-96cc-83e0291ed53e"/>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2</Pages>
  <Words>729</Words>
  <Characters>3912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DRAFT</vt:lpstr>
    </vt:vector>
  </TitlesOfParts>
  <Company>University Hospital, Downstate Medical Center</Company>
  <LinksUpToDate>false</LinksUpToDate>
  <CharactersWithSpaces>4632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dc:title>
  <dc:subject/>
  <dc:creator>Martin P. Muratore</dc:creator>
  <cp:keywords/>
  <dc:description>JU$t bEEn CAPuted!</dc:description>
  <cp:lastModifiedBy>Taryn Toval</cp:lastModifiedBy>
  <cp:revision>4</cp:revision>
  <cp:lastPrinted>2019-05-10T13:48:00Z</cp:lastPrinted>
  <dcterms:created xsi:type="dcterms:W3CDTF">2022-07-25T14:53:00Z</dcterms:created>
  <dcterms:modified xsi:type="dcterms:W3CDTF">2022-07-27T20:19:00Z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0x010100E1FE8DCF16961A479FE834523BA27E86</vt:lpwstr>
  </property>
</Properties>
</file>